
<file path=[Content_Types].xml><?xml version="1.0" encoding="utf-8"?>
<Types xmlns="http://schemas.openxmlformats.org/package/2006/content-types">
  <Default Extension="xml" ContentType="application/xml"/>
  <Default Extension="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oter16.xml" ContentType="application/vnd.openxmlformats-officedocument.wordprocessingml.footer+xml"/>
  <Override PartName="/word/header15.xml" ContentType="application/vnd.openxmlformats-officedocument.wordprocessingml.header+xml"/>
  <Default Extension="png" ContentType="image/png"/>
  <Override PartName="/word/footer15.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Types>
</file>

<file path=_rels/.rels>&#65279;<?xml version="1.0" encoding="UTF-8" standalone="yes"?><Relationships xmlns="http://schemas.openxmlformats.org/package/2006/relationships"><Relationship Id="rId2" Type="http://schemas.openxmlformats.org/package/2006/relationships/metadata/core-properties" Target="docProps/core.xml" /><Relationship Id="rId3" Type="http://schemas.openxmlformats.org/officeDocument/2006/relationships/extended-properties" Target="docProps/app.xml" /><Relationship Id="rId1"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body>
    <w:tbl>
      <w:tblPr>
        <w:jc w:val="left"/>
        <w:tblCellSpacing w:w="30" w:type="dxa"/>
        <w:tblBorders>
          <w:top w:val="nil"/>
          <w:left w:val="nil"/>
          <w:bottom w:val="nil"/>
          <w:right w:val="nil"/>
          <w:insideH w:val="nil"/>
          <w:insideV w:val="nil"/>
        </w:tblBorders>
      </w:tblPr>
      <w:tr>
        <w:tc>
          <w:tcPr>
            <w:vAlign w:val="center"/>
          </w:tcPr>
          <w:p>
            <w:pPr>
              <w:spacing w:before="0" w:after="0" w:lineRule="atLeast" w:line="240"/>
              <w:ind w:hanging="0"/>
              <w:jc w:val="left"/>
              <w:rPr>
                <w:rFonts w:ascii="arial" w:eastAsia="arial" w:hAnsi="arial" w:cs="arial"/>
                <w:b w:val="false"/>
                <w:bCs w:val="false"/>
                <w:i w:val="false"/>
                <w:sz w:val="21"/>
                <w:szCs w:val="21"/>
              </w:rPr>
            </w:pPr>
            <w:r>
              <w:drawing>
                <wp:inline>
                  <wp:extent cx="1943100" cy="714375"/>
                  <wp:docPr id="1" name="Picture 1" descr="IBISWorld Logo"/>
                  <a:graphic xmlns:a="http://schemas.openxmlformats.org/drawingml/2006/main">
                    <a:graphicData uri="http://schemas.openxmlformats.org/drawingml/2006/picture">
                      <pic:pic xmlns:pic="http://schemas.openxmlformats.org/drawingml/2006/picture">
                        <pic:nvPicPr>
                          <pic:cNvPr id="2" name="Picture 2"/>
                          <pic:cNvPicPr/>
                        </pic:nvPicPr>
                        <pic:blipFill>
                          <a:blip r:embed="PictureId1" cstate="print"/>
                          <a:stretch>
                            <a:fillRect/>
                          </a:stretch>
                        </pic:blipFill>
                        <pic:spPr>
                          <a:xfrm>
                            <a:off x="0" y="0"/>
                            <a:ext cx="1943100" cy="714375"/>
                          </a:xfrm>
                          <a:prstGeom prst="rect">
                            <a:avLst/>
                          </a:prstGeom>
                        </pic:spPr>
                      </pic:pic>
                    </a:graphicData>
                  </a:graphic>
                </wp:inline>
              </w:drawing>
            </w:r>
          </w:p>
        </w:tc>
      </w:tr>
      <w:tr>
        <w:tc>
          <w:tcPr>
            <w:vAlign w:val="center"/>
          </w:tcPr>
          <w:p>
            <w:pPr>
              <w:spacing w:before="0" w:after="0" w:lineRule="atLeast" w:line="240"/>
              <w:ind w:hanging="0"/>
              <w:jc w:val="left"/>
              <w:rPr>
                <w:rFonts w:ascii="arial" w:eastAsia="arial" w:hAnsi="arial" w:cs="arial"/>
                <w:b w:val="false"/>
                <w:bCs w:val="false"/>
                <w:i w:val="false"/>
                <w:sz w:val="21"/>
                <w:szCs w:val="21"/>
              </w:rPr>
            </w:pPr>
          </w:p>
        </w:tc>
      </w:tr>
      <w:tr>
        <w:trPr>
          <w:trHeight w:hRule="atLeast" w:val="270"/>
        </w:trPr>
        <w:tc>
          <w:tcPr>
            <w:vAlign w:val="center"/>
          </w:tcPr>
          <w:p>
            <w:pPr>
              <w:spacing w:before="0" w:after="0" w:lineRule="atLeast" w:line="270"/>
              <w:ind w:hanging="0"/>
              <w:jc w:val="left"/>
              <w:rPr>
                <w:rFonts w:ascii="arial" w:eastAsia="arial" w:hAnsi="arial" w:cs="arial"/>
                <w:b w:val="false"/>
                <w:bCs w:val="false"/>
                <w:i w:val="false"/>
                <w:sz w:val="21"/>
                <w:szCs w:val="21"/>
              </w:rPr>
            </w:pPr>
            <w:r>
              <w:drawing>
                <wp:inline>
                  <wp:extent cx="228600" cy="228600"/>
                  <wp:docPr id="3" name="Picture 3" descr="IBISWorld Logo"/>
                  <a:graphic xmlns:a="http://schemas.openxmlformats.org/drawingml/2006/main">
                    <a:graphicData uri="http://schemas.openxmlformats.org/drawingml/2006/picture">
                      <pic:pic xmlns:pic="http://schemas.openxmlformats.org/drawingml/2006/picture">
                        <pic:nvPicPr>
                          <pic:cNvPr id="4" name="Picture 4"/>
                          <pic:cNvPicPr/>
                        </pic:nvPicPr>
                        <pic:blipFill>
                          <a:blip r:embed="PictureId2" cstate="print"/>
                          <a:stretch>
                            <a:fillRect/>
                          </a:stretch>
                        </pic:blipFill>
                        <pic:spPr>
                          <a:xfrm>
                            <a:off x="0" y="0"/>
                            <a:ext cx="228600" cy="228600"/>
                          </a:xfrm>
                          <a:prstGeom prst="rect">
                            <a:avLst/>
                          </a:prstGeom>
                        </pic:spPr>
                      </pic:pic>
                    </a:graphicData>
                  </a:graphic>
                </wp:inline>
              </w:drawing>
            </w:r>
            <w:r>
              <w:rPr>
                <w:rFonts w:ascii="arial" w:eastAsia="arial" w:hAnsi="arial" w:cs="arial"/>
                <w:b w:val="false"/>
                <w:bCs w:val="false"/>
                <w:i w:val="false"/>
                <w:color w:val="FFFFFF"/>
                <w:spacing w:val="22"/>
                <w:sz w:val="21"/>
                <w:szCs w:val="21"/>
              </w:rPr>
              <w:t xml:space="preserve">  INDUSTRY REPORT 44811</w:t>
            </w:r>
          </w:p>
        </w:tc>
      </w:tr>
      <w:tr>
        <w:tc>
          <w:tcPr>
            <w:tcMar>
              <w:top w:w="0" w:type="dxa"/>
              <w:left w:w="0" w:type="dxa"/>
              <w:bottom w:w="120" w:type="dxa"/>
              <w:right w:w="0" w:type="dxa"/>
            </w:tcMar>
            <w:vAlign w:val="center"/>
          </w:tcPr>
          <w:p>
            <w:pPr>
              <w:spacing w:before="0" w:after="0" w:lineRule="atLeast" w:line="360"/>
              <w:ind w:hanging="0"/>
              <w:jc w:val="left"/>
              <w:rPr>
                <w:rFonts w:ascii="arial" w:eastAsia="arial" w:hAnsi="arial" w:cs="arial"/>
                <w:b w:val="false"/>
                <w:bCs w:val="false"/>
                <w:i w:val="false"/>
                <w:sz w:val="21"/>
                <w:szCs w:val="21"/>
              </w:rPr>
            </w:pPr>
            <w:r>
              <w:rPr>
                <w:rFonts w:ascii="arial" w:eastAsia="arial" w:hAnsi="arial" w:cs="arial"/>
                <w:b/>
                <w:bCs/>
                <w:i w:val="false"/>
                <w:color w:val="FFFFFF"/>
                <w:spacing w:val="-8"/>
                <w:sz w:val="54"/>
                <w:szCs w:val="54"/>
              </w:rPr>
              <w:t>Men's Clothing Stores in the US</w:t>
            </w:r>
          </w:p>
        </w:tc>
      </w:tr>
      <w:tr>
        <w:tc>
          <w:tcPr>
            <w:vAlign w:val="center"/>
          </w:tcPr>
          <w:p>
            <w:pPr>
              <w:spacing w:before="0" w:after="0" w:lineRule="atLeast" w:line="240"/>
              <w:ind w:hanging="0"/>
              <w:jc w:val="left"/>
              <w:rPr>
                <w:rFonts w:ascii="arial" w:eastAsia="arial" w:hAnsi="arial" w:cs="arial"/>
                <w:b w:val="false"/>
                <w:bCs w:val="false"/>
                <w:i w:val="false"/>
                <w:sz w:val="21"/>
                <w:szCs w:val="21"/>
              </w:rPr>
            </w:pPr>
            <w:r>
              <w:drawing>
                <wp:inline>
                  <wp:extent cx="952500" cy="38100"/>
                  <wp:docPr id="5" name="Picture 5" descr="Divider"/>
                  <a:graphic xmlns:a="http://schemas.openxmlformats.org/drawingml/2006/main">
                    <a:graphicData uri="http://schemas.openxmlformats.org/drawingml/2006/picture">
                      <pic:pic xmlns:pic="http://schemas.openxmlformats.org/drawingml/2006/picture">
                        <pic:nvPicPr>
                          <pic:cNvPr id="6" name="Picture 6"/>
                          <pic:cNvPicPr/>
                        </pic:nvPicPr>
                        <pic:blipFill>
                          <a:blip r:embed="PictureId3" cstate="print"/>
                          <a:stretch>
                            <a:fillRect/>
                          </a:stretch>
                        </pic:blipFill>
                        <pic:spPr>
                          <a:xfrm>
                            <a:off x="0" y="0"/>
                            <a:ext cx="952500" cy="38100"/>
                          </a:xfrm>
                          <a:prstGeom prst="rect">
                            <a:avLst/>
                          </a:prstGeom>
                        </pic:spPr>
                      </pic:pic>
                    </a:graphicData>
                  </a:graphic>
                </wp:inline>
              </w:drawing>
            </w:r>
          </w:p>
        </w:tc>
      </w:tr>
      <w:tr>
        <w:tc>
          <w:tcPr>
            <w:vAlign w:val="center"/>
          </w:tcPr>
          <w:p>
            <w:pPr>
              <w:spacing w:before="0" w:after="0" w:lineRule="atLeast" w:line="240"/>
              <w:ind w:hanging="0"/>
              <w:jc w:val="left"/>
              <w:rPr>
                <w:rFonts w:ascii="arial" w:eastAsia="arial" w:hAnsi="arial" w:cs="arial"/>
                <w:b w:val="false"/>
                <w:bCs w:val="false"/>
                <w:i w:val="false"/>
                <w:sz w:val="21"/>
                <w:szCs w:val="21"/>
              </w:rPr>
            </w:pPr>
          </w:p>
        </w:tc>
      </w:tr>
      <w:tr>
        <w:tc>
          <w:tcPr>
            <w:tcMar>
              <w:top w:w="0" w:type="dxa"/>
              <w:left w:w="0" w:type="dxa"/>
              <w:bottom w:w="240" w:type="dxa"/>
              <w:right w:w="0" w:type="dxa"/>
            </w:tcMar>
            <w:vAlign w:val="center"/>
          </w:tcPr>
          <w:p>
            <w:pPr>
              <w:spacing w:before="0" w:after="0" w:lineRule="atLeast" w:line="330"/>
              <w:ind w:hanging="0"/>
              <w:jc w:val="left"/>
              <w:rPr>
                <w:rFonts w:ascii="arial" w:eastAsia="arial" w:hAnsi="arial" w:cs="arial"/>
                <w:b w:val="false"/>
                <w:bCs w:val="false"/>
                <w:i w:val="false"/>
                <w:sz w:val="21"/>
                <w:szCs w:val="21"/>
              </w:rPr>
            </w:pPr>
            <w:r>
              <w:rPr>
                <w:rFonts w:ascii="arial" w:eastAsia="arial" w:hAnsi="arial" w:cs="arial"/>
                <w:b w:val="false"/>
                <w:bCs w:val="false"/>
                <w:i w:val="false"/>
                <w:color w:val="FFFFFF"/>
                <w:sz w:val="27"/>
                <w:szCs w:val="27"/>
              </w:rPr>
              <w:t>Dressing up: a decreasing unemployment rate will boost industry revenue growth</w:t>
            </w:r>
          </w:p>
        </w:tc>
      </w:tr>
      <w:tr>
        <w:tc>
          <w:tcPr>
            <w:vAlign w:val="center"/>
          </w:tcPr>
          <w:p>
            <w:pPr>
              <w:spacing w:before="0" w:after="0" w:lineRule="atLeast" w:line="300"/>
              <w:ind w:hanging="0"/>
              <w:jc w:val="left"/>
              <w:rPr>
                <w:rFonts w:ascii="arial" w:eastAsia="arial" w:hAnsi="arial" w:cs="arial"/>
                <w:b w:val="false"/>
                <w:bCs w:val="false"/>
                <w:i w:val="false"/>
                <w:sz w:val="21"/>
                <w:szCs w:val="21"/>
              </w:rPr>
            </w:pPr>
            <w:r>
              <w:rPr>
                <w:rFonts w:ascii="arial" w:eastAsia="arial" w:hAnsi="arial" w:cs="arial"/>
                <w:b w:val="false"/>
                <w:bCs w:val="false"/>
                <w:i w:val="false"/>
                <w:color w:val="FFFFFF"/>
                <w:sz w:val="24"/>
                <w:szCs w:val="24"/>
              </w:rPr>
              <w:t>Claire O'Connor  |  November 2020</w:t>
            </w:r>
          </w:p>
        </w:tc>
      </w:tr>
    </w:tbl>
    <w:p>
      <w:pPr/>
    </w:p>
    <w:p>
      <w:pPr>
        <w:sectPr>
          <w:footerReference w:type="first" r:id="gemHfRid3"/>
          <w:pgSz w:w="11907" w:h="16839" w:code="9"/>
          <w:pgMar w:top="800" w:right="640" w:bottom="1417" w:left="640" w:header="0" w:footer="300" w:gutter="0"/>
          <w:cols w:space="708"/>
          <w:titlePg/>
          <w:docGrid w:linePitch="360"/>
        </w:sectPr>
      </w:pPr>
      <w:r>
        <w:t xml:space="preserve"> </w:t>
      </w:r>
      <w:r>
        <w:drawing>
          <wp:anchor distT="0" distB="0" distL="115200" distR="115200" simplePos="false" relativeHeight="251659264" behindDoc="true" locked="false" layoutInCell="true" allowOverlap="true">
            <wp:simplePos x="0" y="0"/>
            <wp:positionH relativeFrom="page">
              <wp:align>left</wp:align>
            </wp:positionH>
            <wp:positionV relativeFrom="page">
              <wp:posOffset>-914400</wp:posOffset>
            </wp:positionV>
            <wp:extent cx="11430000" cy="7620000"/>
            <wp:wrapNone/>
            <wp:docPr id="7" name="Picture 7"/>
            <a:graphic xmlns:a="http://schemas.openxmlformats.org/drawingml/2006/main">
              <a:graphicData uri="http://schemas.openxmlformats.org/drawingml/2006/picture">
                <pic:pic xmlns:pic="http://schemas.openxmlformats.org/drawingml/2006/picture">
                  <pic:nvPicPr>
                    <pic:cNvPr id="8" name="Picture 8"/>
                    <pic:cNvPicPr/>
                  </pic:nvPicPr>
                  <pic:blipFill>
                    <a:blip r:embed="PictureId4" cstate="print"/>
                    <a:stretch>
                      <a:fillRect/>
                    </a:stretch>
                  </pic:blipFill>
                  <pic:spPr>
                    <a:xfrm>
                      <a:off x="0" y="0"/>
                      <a:ext cx="11430000" cy="7620000"/>
                    </a:xfrm>
                    <a:prstGeom prst="rect">
                      <a:avLst/>
                    </a:prstGeom>
                  </pic:spPr>
                </pic:pic>
              </a:graphicData>
            </a:graphic>
          </wp:anchor>
        </w:drawing>
      </w:r>
    </w:p>
    <w:p>
      <w:pPr>
        <w:pStyle w:val="heading 3"/>
        <w:spacing w:before="0" w:after="210" w:lineRule="atLeast" w:line="390"/>
        <w:ind w:left="0" w:right="0" w:hanging="0"/>
        <w:jc w:val="left"/>
        <w:rPr>
          <w:rFonts w:ascii="arial" w:eastAsia="arial" w:hAnsi="arial" w:cs="arial"/>
          <w:b w:val="false"/>
          <w:bCs w:val="false"/>
          <w:i w:val="false"/>
          <w:color w:val="333333"/>
          <w:sz w:val="36"/>
          <w:szCs w:val="36"/>
        </w:rPr>
      </w:pPr>
      <w:r>
        <w:rPr>
          <w:rFonts w:ascii="arial" w:eastAsia="arial" w:hAnsi="arial" w:cs="arial"/>
          <w:b w:val="false"/>
          <w:bCs w:val="false"/>
          <w:i w:val="false"/>
          <w:color w:val="333333"/>
          <w:sz w:val="36"/>
          <w:szCs w:val="36"/>
        </w:rPr>
        <w:t>Contents</w:t>
      </w:r>
    </w:p>
    <w:p>
      <w:pPr>
        <w:sectPr>
          <w:headerReference w:type="default" r:id="gemHfRid5"/>
          <w:footerReference w:type="default" r:id="gemHfRid6"/>
          <w:pgSz w:w="11907" w:h="16839" w:code="9"/>
          <w:pgMar w:top="800" w:right="640" w:bottom="1417" w:left="640" w:header="0" w:footer="0" w:gutter="0"/>
          <w:cols w:space="708"/>
          <w:docGrid w:linePitch="360"/>
        </w:sectPr>
      </w:pPr>
    </w:p>
    <w:p>
      <w:pPr>
        <w:pStyle w:val="toc 2"/>
        <w:tabs>
          <w:tab w:pos="4606" w:val="right" w:leader="dot"/>
        </w:tabs>
      </w:pPr>
      <w:r>
        <w:fldChar w:fldCharType="begin"/>
      </w:r>
      <w:r>
        <w:instrText>TOC \o "1-2" \h \u \z</w:instrText>
      </w:r>
      <w:r>
        <w:fldChar w:fldCharType="separate"/>
      </w:r>
      <w:hyperlink w:anchor="_Toc1">
        <w:r>
          <w:rPr>
            <w:rFonts w:ascii="arial" w:eastAsia="arial" w:hAnsi="arial" w:cs="arial"/>
            <w:i w:val="false"/>
            <w:spacing w:val="4"/>
          </w:rPr>
          <w:t>COVID-19 (Coronavirus)</w:t>
        </w:r>
        <w:r>
          <w:t xml:space="preserve"> </w:t>
        </w:r>
        <w:r>
          <w:rPr>
            <w:rFonts w:ascii="arial" w:eastAsia="arial" w:hAnsi="arial" w:cs="arial"/>
            <w:i w:val="false"/>
            <w:spacing w:val="4"/>
          </w:rPr>
          <w:t>Impact Update</w:t>
        </w:r>
        <w:r>
          <w:tab/>
        </w:r>
        <w:r>
          <w:fldChar w:fldCharType="begin"/>
        </w:r>
        <w:r>
          <w:instrText xml:space="preserve">PAGEREF </w:instrText>
        </w:r>
        <w:r>
          <w:instrText>_Toc1 \h</w:instrText>
        </w:r>
        <w:r>
          <w:fldChar w:fldCharType="separate"/>
        </w:r>
        <w:r>
          <w:rPr/>
          <w:t>3</w:t>
        </w:r>
        <w:r>
          <w:fldChar w:fldCharType="end"/>
        </w:r>
      </w:hyperlink>
    </w:p>
    <w:p>
      <w:pPr>
        <w:pStyle w:val="toc 1"/>
        <w:tabs>
          <w:tab w:pos="4606" w:val="right" w:leader="dot"/>
        </w:tabs>
      </w:pPr>
      <w:hyperlink w:anchor="_Toc2">
        <w:r>
          <w:rPr>
            <w:rFonts w:ascii="arial" w:eastAsia="arial" w:hAnsi="arial" w:cs="arial"/>
            <w:b w:val="false"/>
            <w:bCs w:val="false"/>
            <w:i w:val="false"/>
          </w:rPr>
          <w:t>About This Industry</w:t>
        </w:r>
        <w:r>
          <w:tab/>
        </w:r>
        <w:r>
          <w:fldChar w:fldCharType="begin"/>
        </w:r>
        <w:r>
          <w:instrText xml:space="preserve">PAGEREF </w:instrText>
        </w:r>
        <w:r>
          <w:instrText>_Toc2 \h</w:instrText>
        </w:r>
        <w:r>
          <w:fldChar w:fldCharType="separate"/>
        </w:r>
        <w:r>
          <w:rPr/>
          <w:t>5</w:t>
        </w:r>
        <w:r>
          <w:fldChar w:fldCharType="end"/>
        </w:r>
      </w:hyperlink>
    </w:p>
    <w:p>
      <w:pPr>
        <w:pStyle w:val="toc 2"/>
        <w:tabs>
          <w:tab w:pos="4606" w:val="right" w:leader="dot"/>
        </w:tabs>
      </w:pPr>
      <w:hyperlink w:anchor="_Toc3">
        <w:r>
          <w:rPr>
            <w:rFonts w:ascii="arial" w:eastAsia="arial" w:hAnsi="arial" w:cs="arial"/>
            <w:i w:val="false"/>
            <w:spacing w:val="4"/>
          </w:rPr>
          <w:t>Industry Definition</w:t>
        </w:r>
        <w:r>
          <w:tab/>
        </w:r>
        <w:r>
          <w:fldChar w:fldCharType="begin"/>
        </w:r>
        <w:r>
          <w:instrText xml:space="preserve">PAGEREF </w:instrText>
        </w:r>
        <w:r>
          <w:instrText>_Toc3 \h</w:instrText>
        </w:r>
        <w:r>
          <w:fldChar w:fldCharType="separate"/>
        </w:r>
        <w:r>
          <w:rPr/>
          <w:t>5</w:t>
        </w:r>
        <w:r>
          <w:fldChar w:fldCharType="end"/>
        </w:r>
      </w:hyperlink>
    </w:p>
    <w:p>
      <w:pPr>
        <w:pStyle w:val="toc 2"/>
        <w:tabs>
          <w:tab w:pos="4606" w:val="right" w:leader="dot"/>
        </w:tabs>
      </w:pPr>
      <w:hyperlink w:anchor="_Toc4">
        <w:r>
          <w:rPr>
            <w:rFonts w:ascii="arial" w:eastAsia="arial" w:hAnsi="arial" w:cs="arial"/>
            <w:i w:val="false"/>
            <w:spacing w:val="4"/>
          </w:rPr>
          <w:t>Major Players</w:t>
        </w:r>
        <w:r>
          <w:tab/>
        </w:r>
        <w:r>
          <w:fldChar w:fldCharType="begin"/>
        </w:r>
        <w:r>
          <w:instrText xml:space="preserve">PAGEREF </w:instrText>
        </w:r>
        <w:r>
          <w:instrText>_Toc4 \h</w:instrText>
        </w:r>
        <w:r>
          <w:fldChar w:fldCharType="separate"/>
        </w:r>
        <w:r>
          <w:rPr/>
          <w:t>5</w:t>
        </w:r>
        <w:r>
          <w:fldChar w:fldCharType="end"/>
        </w:r>
      </w:hyperlink>
    </w:p>
    <w:p>
      <w:pPr>
        <w:pStyle w:val="toc 2"/>
        <w:tabs>
          <w:tab w:pos="4606" w:val="right" w:leader="dot"/>
        </w:tabs>
      </w:pPr>
      <w:hyperlink w:anchor="_Toc5">
        <w:r>
          <w:rPr>
            <w:rFonts w:ascii="arial" w:eastAsia="arial" w:hAnsi="arial" w:cs="arial"/>
            <w:i w:val="false"/>
            <w:spacing w:val="4"/>
          </w:rPr>
          <w:t>Main Activities</w:t>
        </w:r>
        <w:r>
          <w:tab/>
        </w:r>
        <w:r>
          <w:fldChar w:fldCharType="begin"/>
        </w:r>
        <w:r>
          <w:instrText xml:space="preserve">PAGEREF </w:instrText>
        </w:r>
        <w:r>
          <w:instrText>_Toc5 \h</w:instrText>
        </w:r>
        <w:r>
          <w:fldChar w:fldCharType="separate"/>
        </w:r>
        <w:r>
          <w:rPr/>
          <w:t>5</w:t>
        </w:r>
        <w:r>
          <w:fldChar w:fldCharType="end"/>
        </w:r>
      </w:hyperlink>
    </w:p>
    <w:p>
      <w:pPr>
        <w:pStyle w:val="toc 2"/>
        <w:tabs>
          <w:tab w:pos="4606" w:val="right" w:leader="dot"/>
        </w:tabs>
      </w:pPr>
      <w:hyperlink w:anchor="_Toc6">
        <w:r>
          <w:rPr>
            <w:rFonts w:ascii="arial" w:eastAsia="arial" w:hAnsi="arial" w:cs="arial"/>
            <w:i w:val="false"/>
            <w:spacing w:val="4"/>
          </w:rPr>
          <w:t>Supply Chain</w:t>
        </w:r>
        <w:r>
          <w:tab/>
        </w:r>
        <w:r>
          <w:fldChar w:fldCharType="begin"/>
        </w:r>
        <w:r>
          <w:instrText xml:space="preserve">PAGEREF </w:instrText>
        </w:r>
        <w:r>
          <w:instrText>_Toc6 \h</w:instrText>
        </w:r>
        <w:r>
          <w:fldChar w:fldCharType="separate"/>
        </w:r>
        <w:r>
          <w:rPr/>
          <w:t>6</w:t>
        </w:r>
        <w:r>
          <w:fldChar w:fldCharType="end"/>
        </w:r>
      </w:hyperlink>
    </w:p>
    <w:p>
      <w:pPr>
        <w:pStyle w:val="toc 1"/>
        <w:tabs>
          <w:tab w:pos="4606" w:val="right" w:leader="dot"/>
        </w:tabs>
      </w:pPr>
      <w:hyperlink w:anchor="_Toc7">
        <w:r>
          <w:rPr>
            <w:rFonts w:ascii="arial" w:eastAsia="arial" w:hAnsi="arial" w:cs="arial"/>
            <w:b w:val="false"/>
            <w:bCs w:val="false"/>
            <w:i w:val="false"/>
          </w:rPr>
          <w:t>Industry at a Glance</w:t>
        </w:r>
        <w:r>
          <w:tab/>
        </w:r>
        <w:r>
          <w:fldChar w:fldCharType="begin"/>
        </w:r>
        <w:r>
          <w:instrText xml:space="preserve">PAGEREF </w:instrText>
        </w:r>
        <w:r>
          <w:instrText>_Toc7 \h</w:instrText>
        </w:r>
        <w:r>
          <w:fldChar w:fldCharType="separate"/>
        </w:r>
        <w:r>
          <w:rPr/>
          <w:t>7</w:t>
        </w:r>
        <w:r>
          <w:fldChar w:fldCharType="end"/>
        </w:r>
      </w:hyperlink>
    </w:p>
    <w:p>
      <w:pPr>
        <w:pStyle w:val="toc 2"/>
        <w:tabs>
          <w:tab w:pos="4606" w:val="right" w:leader="dot"/>
        </w:tabs>
      </w:pPr>
      <w:hyperlink w:anchor="_Toc8">
        <w:r>
          <w:rPr>
            <w:rFonts w:ascii="arial" w:eastAsia="arial" w:hAnsi="arial" w:cs="arial"/>
            <w:i w:val="false"/>
            <w:spacing w:val="4"/>
          </w:rPr>
          <w:t>Executive Summary</w:t>
        </w:r>
        <w:r>
          <w:tab/>
        </w:r>
        <w:r>
          <w:fldChar w:fldCharType="begin"/>
        </w:r>
        <w:r>
          <w:instrText xml:space="preserve">PAGEREF </w:instrText>
        </w:r>
        <w:r>
          <w:instrText>_Toc8 \h</w:instrText>
        </w:r>
        <w:r>
          <w:fldChar w:fldCharType="separate"/>
        </w:r>
        <w:r>
          <w:rPr/>
          <w:t>9</w:t>
        </w:r>
        <w:r>
          <w:fldChar w:fldCharType="end"/>
        </w:r>
      </w:hyperlink>
    </w:p>
    <w:p>
      <w:pPr>
        <w:pStyle w:val="toc 1"/>
        <w:tabs>
          <w:tab w:pos="4606" w:val="right" w:leader="dot"/>
        </w:tabs>
      </w:pPr>
      <w:hyperlink w:anchor="_Toc9">
        <w:r>
          <w:rPr>
            <w:rFonts w:ascii="arial" w:eastAsia="arial" w:hAnsi="arial" w:cs="arial"/>
            <w:b w:val="false"/>
            <w:bCs w:val="false"/>
            <w:i w:val="false"/>
          </w:rPr>
          <w:t>Industry Performance</w:t>
        </w:r>
        <w:r>
          <w:tab/>
        </w:r>
        <w:r>
          <w:fldChar w:fldCharType="begin"/>
        </w:r>
        <w:r>
          <w:instrText xml:space="preserve">PAGEREF </w:instrText>
        </w:r>
        <w:r>
          <w:instrText>_Toc9 \h</w:instrText>
        </w:r>
        <w:r>
          <w:fldChar w:fldCharType="separate"/>
        </w:r>
        <w:r>
          <w:rPr/>
          <w:t>10</w:t>
        </w:r>
        <w:r>
          <w:fldChar w:fldCharType="end"/>
        </w:r>
      </w:hyperlink>
    </w:p>
    <w:p>
      <w:pPr>
        <w:pStyle w:val="toc 2"/>
        <w:tabs>
          <w:tab w:pos="4606" w:val="right" w:leader="dot"/>
        </w:tabs>
      </w:pPr>
      <w:hyperlink w:anchor="_Toc10">
        <w:r>
          <w:rPr>
            <w:rFonts w:ascii="arial" w:eastAsia="arial" w:hAnsi="arial" w:cs="arial"/>
            <w:i w:val="false"/>
            <w:spacing w:val="4"/>
          </w:rPr>
          <w:t xml:space="preserve">Key External </w:t>
        </w:r>
        <w:r>
          <w:t xml:space="preserve"> </w:t>
        </w:r>
        <w:r>
          <w:rPr>
            <w:rFonts w:ascii="arial" w:eastAsia="arial" w:hAnsi="arial" w:cs="arial"/>
            <w:i w:val="false"/>
            <w:spacing w:val="4"/>
          </w:rPr>
          <w:t>Drivers</w:t>
        </w:r>
        <w:r>
          <w:tab/>
        </w:r>
        <w:r>
          <w:fldChar w:fldCharType="begin"/>
        </w:r>
        <w:r>
          <w:instrText xml:space="preserve">PAGEREF </w:instrText>
        </w:r>
        <w:r>
          <w:instrText>_Toc10 \h</w:instrText>
        </w:r>
        <w:r>
          <w:fldChar w:fldCharType="separate"/>
        </w:r>
        <w:r>
          <w:rPr/>
          <w:t>10</w:t>
        </w:r>
        <w:r>
          <w:fldChar w:fldCharType="end"/>
        </w:r>
      </w:hyperlink>
    </w:p>
    <w:p>
      <w:pPr>
        <w:pStyle w:val="toc 2"/>
        <w:tabs>
          <w:tab w:pos="4606" w:val="right" w:leader="dot"/>
        </w:tabs>
      </w:pPr>
      <w:hyperlink w:anchor="_Toc11">
        <w:r>
          <w:rPr>
            <w:rFonts w:ascii="arial" w:eastAsia="arial" w:hAnsi="arial" w:cs="arial"/>
            <w:i w:val="false"/>
            <w:spacing w:val="4"/>
          </w:rPr>
          <w:t xml:space="preserve">Current </w:t>
        </w:r>
        <w:r>
          <w:t xml:space="preserve"> </w:t>
        </w:r>
        <w:r>
          <w:rPr>
            <w:rFonts w:ascii="arial" w:eastAsia="arial" w:hAnsi="arial" w:cs="arial"/>
            <w:i w:val="false"/>
            <w:spacing w:val="4"/>
          </w:rPr>
          <w:t>Performance</w:t>
        </w:r>
        <w:r>
          <w:tab/>
        </w:r>
        <w:r>
          <w:fldChar w:fldCharType="begin"/>
        </w:r>
        <w:r>
          <w:instrText xml:space="preserve">PAGEREF </w:instrText>
        </w:r>
        <w:r>
          <w:instrText>_Toc11 \h</w:instrText>
        </w:r>
        <w:r>
          <w:fldChar w:fldCharType="separate"/>
        </w:r>
        <w:r>
          <w:rPr/>
          <w:t>11</w:t>
        </w:r>
        <w:r>
          <w:fldChar w:fldCharType="end"/>
        </w:r>
      </w:hyperlink>
    </w:p>
    <w:p>
      <w:pPr>
        <w:pStyle w:val="toc 1"/>
        <w:tabs>
          <w:tab w:pos="4606" w:val="right" w:leader="dot"/>
        </w:tabs>
      </w:pPr>
      <w:hyperlink w:anchor="_Toc12">
        <w:r>
          <w:rPr>
            <w:rFonts w:ascii="arial" w:eastAsia="arial" w:hAnsi="arial" w:cs="arial"/>
            <w:b w:val="false"/>
            <w:bCs w:val="false"/>
            <w:i w:val="false"/>
          </w:rPr>
          <w:t>Industry Outlook</w:t>
        </w:r>
        <w:r>
          <w:tab/>
        </w:r>
        <w:r>
          <w:fldChar w:fldCharType="begin"/>
        </w:r>
        <w:r>
          <w:instrText xml:space="preserve">PAGEREF </w:instrText>
        </w:r>
        <w:r>
          <w:instrText>_Toc12 \h</w:instrText>
        </w:r>
        <w:r>
          <w:fldChar w:fldCharType="separate"/>
        </w:r>
        <w:r>
          <w:rPr/>
          <w:t>14</w:t>
        </w:r>
        <w:r>
          <w:fldChar w:fldCharType="end"/>
        </w:r>
      </w:hyperlink>
    </w:p>
    <w:p>
      <w:pPr>
        <w:pStyle w:val="toc 2"/>
        <w:tabs>
          <w:tab w:pos="4606" w:val="right" w:leader="dot"/>
        </w:tabs>
      </w:pPr>
      <w:hyperlink w:anchor="_Toc13">
        <w:r>
          <w:rPr>
            <w:rFonts w:ascii="arial" w:eastAsia="arial" w:hAnsi="arial" w:cs="arial"/>
            <w:i w:val="false"/>
            <w:spacing w:val="4"/>
          </w:rPr>
          <w:t>Outlook</w:t>
        </w:r>
        <w:r>
          <w:tab/>
        </w:r>
        <w:r>
          <w:fldChar w:fldCharType="begin"/>
        </w:r>
        <w:r>
          <w:instrText xml:space="preserve">PAGEREF </w:instrText>
        </w:r>
        <w:r>
          <w:instrText>_Toc13 \h</w:instrText>
        </w:r>
        <w:r>
          <w:fldChar w:fldCharType="separate"/>
        </w:r>
        <w:r>
          <w:rPr/>
          <w:t>14</w:t>
        </w:r>
        <w:r>
          <w:fldChar w:fldCharType="end"/>
        </w:r>
      </w:hyperlink>
    </w:p>
    <w:p>
      <w:pPr>
        <w:pStyle w:val="toc 2"/>
        <w:tabs>
          <w:tab w:pos="4606" w:val="right" w:leader="dot"/>
        </w:tabs>
      </w:pPr>
      <w:hyperlink w:anchor="_Toc14">
        <w:r>
          <w:rPr>
            <w:rFonts w:ascii="arial" w:eastAsia="arial" w:hAnsi="arial" w:cs="arial"/>
            <w:i w:val="false"/>
            <w:spacing w:val="4"/>
          </w:rPr>
          <w:t>Industry Life Cycle</w:t>
        </w:r>
        <w:r>
          <w:tab/>
        </w:r>
        <w:r>
          <w:fldChar w:fldCharType="begin"/>
        </w:r>
        <w:r>
          <w:instrText xml:space="preserve">PAGEREF </w:instrText>
        </w:r>
        <w:r>
          <w:instrText>_Toc14 \h</w:instrText>
        </w:r>
        <w:r>
          <w:fldChar w:fldCharType="separate"/>
        </w:r>
        <w:r>
          <w:rPr/>
          <w:t>15</w:t>
        </w:r>
        <w:r>
          <w:fldChar w:fldCharType="end"/>
        </w:r>
      </w:hyperlink>
    </w:p>
    <w:p>
      <w:pPr>
        <w:pStyle w:val="toc 1"/>
        <w:tabs>
          <w:tab w:pos="4606" w:val="right" w:leader="dot"/>
        </w:tabs>
      </w:pPr>
      <w:hyperlink w:anchor="_Toc15">
        <w:r>
          <w:rPr>
            <w:rFonts w:ascii="arial" w:eastAsia="arial" w:hAnsi="arial" w:cs="arial"/>
            <w:b w:val="false"/>
            <w:bCs w:val="false"/>
            <w:i w:val="false"/>
          </w:rPr>
          <w:t>Products &amp; Markets</w:t>
        </w:r>
        <w:r>
          <w:tab/>
        </w:r>
        <w:r>
          <w:fldChar w:fldCharType="begin"/>
        </w:r>
        <w:r>
          <w:instrText xml:space="preserve">PAGEREF </w:instrText>
        </w:r>
        <w:r>
          <w:instrText>_Toc15 \h</w:instrText>
        </w:r>
        <w:r>
          <w:fldChar w:fldCharType="separate"/>
        </w:r>
        <w:r>
          <w:rPr/>
          <w:t>17</w:t>
        </w:r>
        <w:r>
          <w:fldChar w:fldCharType="end"/>
        </w:r>
      </w:hyperlink>
    </w:p>
    <w:p>
      <w:pPr>
        <w:pStyle w:val="toc 2"/>
        <w:tabs>
          <w:tab w:pos="4606" w:val="right" w:leader="dot"/>
        </w:tabs>
      </w:pPr>
      <w:hyperlink w:anchor="_Toc16">
        <w:r>
          <w:rPr>
            <w:rFonts w:ascii="arial" w:eastAsia="arial" w:hAnsi="arial" w:cs="arial"/>
            <w:i w:val="false"/>
            <w:spacing w:val="4"/>
          </w:rPr>
          <w:t>Supply Chain</w:t>
        </w:r>
        <w:r>
          <w:tab/>
        </w:r>
        <w:r>
          <w:fldChar w:fldCharType="begin"/>
        </w:r>
        <w:r>
          <w:instrText xml:space="preserve">PAGEREF </w:instrText>
        </w:r>
        <w:r>
          <w:instrText>_Toc16 \h</w:instrText>
        </w:r>
        <w:r>
          <w:fldChar w:fldCharType="separate"/>
        </w:r>
        <w:r>
          <w:rPr/>
          <w:t>17</w:t>
        </w:r>
        <w:r>
          <w:fldChar w:fldCharType="end"/>
        </w:r>
      </w:hyperlink>
    </w:p>
    <w:p>
      <w:pPr>
        <w:pStyle w:val="toc 2"/>
        <w:tabs>
          <w:tab w:pos="4606" w:val="right" w:leader="dot"/>
        </w:tabs>
      </w:pPr>
      <w:hyperlink w:anchor="_Toc17">
        <w:r>
          <w:rPr>
            <w:rFonts w:ascii="arial" w:eastAsia="arial" w:hAnsi="arial" w:cs="arial"/>
            <w:i w:val="false"/>
            <w:spacing w:val="4"/>
          </w:rPr>
          <w:t>Products &amp; Services</w:t>
        </w:r>
        <w:r>
          <w:tab/>
        </w:r>
        <w:r>
          <w:fldChar w:fldCharType="begin"/>
        </w:r>
        <w:r>
          <w:instrText xml:space="preserve">PAGEREF </w:instrText>
        </w:r>
        <w:r>
          <w:instrText>_Toc17 \h</w:instrText>
        </w:r>
        <w:r>
          <w:fldChar w:fldCharType="separate"/>
        </w:r>
        <w:r>
          <w:rPr/>
          <w:t>17</w:t>
        </w:r>
        <w:r>
          <w:fldChar w:fldCharType="end"/>
        </w:r>
      </w:hyperlink>
    </w:p>
    <w:p>
      <w:pPr>
        <w:pStyle w:val="toc 2"/>
        <w:tabs>
          <w:tab w:pos="4606" w:val="right" w:leader="dot"/>
        </w:tabs>
      </w:pPr>
      <w:hyperlink w:anchor="_Toc18">
        <w:r>
          <w:rPr>
            <w:rFonts w:ascii="arial" w:eastAsia="arial" w:hAnsi="arial" w:cs="arial"/>
            <w:i w:val="false"/>
            <w:spacing w:val="4"/>
          </w:rPr>
          <w:t>Major Markets</w:t>
        </w:r>
        <w:r>
          <w:tab/>
        </w:r>
        <w:r>
          <w:fldChar w:fldCharType="begin"/>
        </w:r>
        <w:r>
          <w:instrText xml:space="preserve">PAGEREF </w:instrText>
        </w:r>
        <w:r>
          <w:instrText>_Toc18 \h</w:instrText>
        </w:r>
        <w:r>
          <w:fldChar w:fldCharType="separate"/>
        </w:r>
        <w:r>
          <w:rPr/>
          <w:t>18</w:t>
        </w:r>
        <w:r>
          <w:fldChar w:fldCharType="end"/>
        </w:r>
      </w:hyperlink>
    </w:p>
    <w:p>
      <w:pPr>
        <w:pStyle w:val="toc 2"/>
        <w:tabs>
          <w:tab w:pos="4606" w:val="right" w:leader="dot"/>
        </w:tabs>
      </w:pPr>
      <w:hyperlink w:anchor="_Toc19">
        <w:r>
          <w:rPr>
            <w:rFonts w:ascii="arial" w:eastAsia="arial" w:hAnsi="arial" w:cs="arial"/>
            <w:i w:val="false"/>
            <w:spacing w:val="4"/>
          </w:rPr>
          <w:t>Business Locations</w:t>
        </w:r>
        <w:r>
          <w:tab/>
        </w:r>
        <w:r>
          <w:fldChar w:fldCharType="begin"/>
        </w:r>
        <w:r>
          <w:instrText xml:space="preserve">PAGEREF </w:instrText>
        </w:r>
        <w:r>
          <w:instrText>_Toc19 \h</w:instrText>
        </w:r>
        <w:r>
          <w:fldChar w:fldCharType="separate"/>
        </w:r>
        <w:r>
          <w:rPr/>
          <w:t>19</w:t>
        </w:r>
        <w:r>
          <w:fldChar w:fldCharType="end"/>
        </w:r>
      </w:hyperlink>
    </w:p>
    <w:p>
      <w:pPr>
        <w:pStyle w:val="toc 1"/>
        <w:tabs>
          <w:tab w:pos="4606" w:val="right" w:leader="dot"/>
        </w:tabs>
      </w:pPr>
      <w:hyperlink w:anchor="_Toc20">
        <w:r>
          <w:rPr>
            <w:rFonts w:ascii="arial" w:eastAsia="arial" w:hAnsi="arial" w:cs="arial"/>
            <w:b w:val="false"/>
            <w:bCs w:val="false"/>
            <w:i w:val="false"/>
          </w:rPr>
          <w:t>Competitive Landscape</w:t>
        </w:r>
        <w:r>
          <w:tab/>
        </w:r>
        <w:r>
          <w:fldChar w:fldCharType="begin"/>
        </w:r>
        <w:r>
          <w:instrText xml:space="preserve">PAGEREF </w:instrText>
        </w:r>
        <w:r>
          <w:instrText>_Toc20 \h</w:instrText>
        </w:r>
        <w:r>
          <w:fldChar w:fldCharType="separate"/>
        </w:r>
        <w:r>
          <w:rPr/>
          <w:t>21</w:t>
        </w:r>
        <w:r>
          <w:fldChar w:fldCharType="end"/>
        </w:r>
      </w:hyperlink>
    </w:p>
    <w:p>
      <w:pPr>
        <w:pStyle w:val="toc 2"/>
        <w:tabs>
          <w:tab w:pos="4606" w:val="right" w:leader="dot"/>
        </w:tabs>
      </w:pPr>
      <w:hyperlink w:anchor="_Toc21">
        <w:r>
          <w:rPr>
            <w:rFonts w:ascii="arial" w:eastAsia="arial" w:hAnsi="arial" w:cs="arial"/>
            <w:i w:val="false"/>
            <w:spacing w:val="4"/>
          </w:rPr>
          <w:t>Market Share Concentration</w:t>
        </w:r>
        <w:r>
          <w:tab/>
        </w:r>
        <w:r>
          <w:fldChar w:fldCharType="begin"/>
        </w:r>
        <w:r>
          <w:instrText xml:space="preserve">PAGEREF </w:instrText>
        </w:r>
        <w:r>
          <w:instrText>_Toc21 \h</w:instrText>
        </w:r>
        <w:r>
          <w:fldChar w:fldCharType="separate"/>
        </w:r>
        <w:r>
          <w:rPr/>
          <w:t>21</w:t>
        </w:r>
        <w:r>
          <w:fldChar w:fldCharType="end"/>
        </w:r>
      </w:hyperlink>
    </w:p>
    <w:p>
      <w:pPr>
        <w:pStyle w:val="toc 2"/>
        <w:tabs>
          <w:tab w:pos="4606" w:val="right" w:leader="dot"/>
        </w:tabs>
      </w:pPr>
      <w:hyperlink w:anchor="_Toc22">
        <w:r>
          <w:rPr>
            <w:rFonts w:ascii="arial" w:eastAsia="arial" w:hAnsi="arial" w:cs="arial"/>
            <w:i w:val="false"/>
            <w:spacing w:val="4"/>
          </w:rPr>
          <w:t xml:space="preserve">Key Success </w:t>
        </w:r>
        <w:r>
          <w:t xml:space="preserve"> </w:t>
        </w:r>
        <w:r>
          <w:rPr>
            <w:rFonts w:ascii="arial" w:eastAsia="arial" w:hAnsi="arial" w:cs="arial"/>
            <w:i w:val="false"/>
            <w:spacing w:val="4"/>
          </w:rPr>
          <w:t>Factors</w:t>
        </w:r>
        <w:r>
          <w:tab/>
        </w:r>
        <w:r>
          <w:fldChar w:fldCharType="begin"/>
        </w:r>
        <w:r>
          <w:instrText xml:space="preserve">PAGEREF </w:instrText>
        </w:r>
        <w:r>
          <w:instrText>_Toc22 \h</w:instrText>
        </w:r>
        <w:r>
          <w:fldChar w:fldCharType="separate"/>
        </w:r>
        <w:r>
          <w:rPr/>
          <w:t>21</w:t>
        </w:r>
        <w:r>
          <w:fldChar w:fldCharType="end"/>
        </w:r>
      </w:hyperlink>
    </w:p>
    <w:p>
      <w:pPr>
        <w:pStyle w:val="toc 2"/>
        <w:tabs>
          <w:tab w:pos="4606" w:val="right" w:leader="dot"/>
        </w:tabs>
      </w:pPr>
      <w:hyperlink w:anchor="_Toc23">
        <w:r>
          <w:rPr>
            <w:rFonts w:ascii="arial" w:eastAsia="arial" w:hAnsi="arial" w:cs="arial"/>
            <w:i w:val="false"/>
            <w:spacing w:val="4"/>
          </w:rPr>
          <w:t xml:space="preserve">Cost Structure </w:t>
        </w:r>
        <w:r>
          <w:t xml:space="preserve"> </w:t>
        </w:r>
        <w:r>
          <w:rPr>
            <w:rFonts w:ascii="arial" w:eastAsia="arial" w:hAnsi="arial" w:cs="arial"/>
            <w:i w:val="false"/>
            <w:spacing w:val="4"/>
          </w:rPr>
          <w:t>Benchmarks</w:t>
        </w:r>
        <w:r>
          <w:tab/>
        </w:r>
        <w:r>
          <w:fldChar w:fldCharType="begin"/>
        </w:r>
        <w:r>
          <w:instrText xml:space="preserve">PAGEREF </w:instrText>
        </w:r>
        <w:r>
          <w:instrText>_Toc23 \h</w:instrText>
        </w:r>
        <w:r>
          <w:fldChar w:fldCharType="separate"/>
        </w:r>
        <w:r>
          <w:rPr/>
          <w:t>21</w:t>
        </w:r>
        <w:r>
          <w:fldChar w:fldCharType="end"/>
        </w:r>
      </w:hyperlink>
    </w:p>
    <w:p>
      <w:pPr>
        <w:pStyle w:val="toc 2"/>
        <w:tabs>
          <w:tab w:pos="4606" w:val="right" w:leader="dot"/>
        </w:tabs>
      </w:pPr>
      <w:hyperlink w:anchor="_Toc24">
        <w:r>
          <w:rPr>
            <w:rFonts w:ascii="arial" w:eastAsia="arial" w:hAnsi="arial" w:cs="arial"/>
            <w:i w:val="false"/>
            <w:spacing w:val="4"/>
          </w:rPr>
          <w:t>Basis of</w:t>
        </w:r>
        <w:r>
          <w:t xml:space="preserve"> </w:t>
        </w:r>
        <w:r>
          <w:rPr>
            <w:rFonts w:ascii="arial" w:eastAsia="arial" w:hAnsi="arial" w:cs="arial"/>
            <w:i w:val="false"/>
            <w:spacing w:val="4"/>
          </w:rPr>
          <w:t>Competition</w:t>
        </w:r>
        <w:r>
          <w:tab/>
        </w:r>
        <w:r>
          <w:fldChar w:fldCharType="begin"/>
        </w:r>
        <w:r>
          <w:instrText xml:space="preserve">PAGEREF </w:instrText>
        </w:r>
        <w:r>
          <w:instrText>_Toc24 \h</w:instrText>
        </w:r>
        <w:r>
          <w:fldChar w:fldCharType="separate"/>
        </w:r>
        <w:r>
          <w:rPr/>
          <w:t>24</w:t>
        </w:r>
        <w:r>
          <w:fldChar w:fldCharType="end"/>
        </w:r>
      </w:hyperlink>
    </w:p>
    <w:p>
      <w:pPr>
        <w:pStyle w:val="toc 2"/>
        <w:tabs>
          <w:tab w:pos="4606" w:val="right" w:leader="dot"/>
        </w:tabs>
      </w:pPr>
      <w:hyperlink w:anchor="_Toc25">
        <w:r>
          <w:rPr>
            <w:rFonts w:ascii="arial" w:eastAsia="arial" w:hAnsi="arial" w:cs="arial"/>
            <w:i w:val="false"/>
            <w:spacing w:val="4"/>
          </w:rPr>
          <w:t xml:space="preserve">Barriers to </w:t>
        </w:r>
        <w:r>
          <w:t xml:space="preserve"> </w:t>
        </w:r>
        <w:r>
          <w:rPr>
            <w:rFonts w:ascii="arial" w:eastAsia="arial" w:hAnsi="arial" w:cs="arial"/>
            <w:i w:val="false"/>
            <w:spacing w:val="4"/>
          </w:rPr>
          <w:t>Entry</w:t>
        </w:r>
        <w:r>
          <w:tab/>
        </w:r>
        <w:r>
          <w:fldChar w:fldCharType="begin"/>
        </w:r>
        <w:r>
          <w:instrText xml:space="preserve">PAGEREF </w:instrText>
        </w:r>
        <w:r>
          <w:instrText>_Toc25 \h</w:instrText>
        </w:r>
        <w:r>
          <w:fldChar w:fldCharType="separate"/>
        </w:r>
        <w:r>
          <w:rPr/>
          <w:t>25</w:t>
        </w:r>
        <w:r>
          <w:fldChar w:fldCharType="end"/>
        </w:r>
      </w:hyperlink>
    </w:p>
    <w:p>
      <w:pPr>
        <w:pStyle w:val="toc 2"/>
        <w:tabs>
          <w:tab w:pos="4606" w:val="right" w:leader="dot"/>
        </w:tabs>
      </w:pPr>
      <w:hyperlink w:anchor="_Toc26">
        <w:r>
          <w:rPr>
            <w:rFonts w:ascii="arial" w:eastAsia="arial" w:hAnsi="arial" w:cs="arial"/>
            <w:i w:val="false"/>
            <w:spacing w:val="4"/>
          </w:rPr>
          <w:t>Industry Globalization</w:t>
        </w:r>
        <w:r>
          <w:tab/>
        </w:r>
        <w:r>
          <w:fldChar w:fldCharType="begin"/>
        </w:r>
        <w:r>
          <w:instrText xml:space="preserve">PAGEREF </w:instrText>
        </w:r>
        <w:r>
          <w:instrText>_Toc26 \h</w:instrText>
        </w:r>
        <w:r>
          <w:fldChar w:fldCharType="separate"/>
        </w:r>
        <w:r>
          <w:rPr/>
          <w:t>26</w:t>
        </w:r>
        <w:r>
          <w:fldChar w:fldCharType="end"/>
        </w:r>
      </w:hyperlink>
    </w:p>
    <w:p>
      <w:pPr>
        <w:pStyle w:val="toc 1"/>
        <w:tabs>
          <w:tab w:pos="4606" w:val="right" w:leader="dot"/>
        </w:tabs>
      </w:pPr>
      <w:hyperlink w:anchor="_Toc27">
        <w:r>
          <w:rPr>
            <w:rFonts w:ascii="arial" w:eastAsia="arial" w:hAnsi="arial" w:cs="arial"/>
            <w:b w:val="false"/>
            <w:bCs w:val="false"/>
            <w:i w:val="false"/>
          </w:rPr>
          <w:t>Major Companies</w:t>
        </w:r>
        <w:r>
          <w:tab/>
        </w:r>
        <w:r>
          <w:fldChar w:fldCharType="begin"/>
        </w:r>
        <w:r>
          <w:instrText xml:space="preserve">PAGEREF </w:instrText>
        </w:r>
        <w:r>
          <w:instrText>_Toc27 \h</w:instrText>
        </w:r>
        <w:r>
          <w:fldChar w:fldCharType="separate"/>
        </w:r>
        <w:r>
          <w:rPr/>
          <w:t>27</w:t>
        </w:r>
        <w:r>
          <w:fldChar w:fldCharType="end"/>
        </w:r>
      </w:hyperlink>
    </w:p>
    <w:p>
      <w:pPr>
        <w:pStyle w:val="toc 2"/>
        <w:tabs>
          <w:tab w:pos="4606" w:val="right" w:leader="dot"/>
        </w:tabs>
      </w:pPr>
      <w:hyperlink w:anchor="_Toc28">
        <w:r>
          <w:rPr>
            <w:rFonts w:ascii="arial" w:eastAsia="arial" w:hAnsi="arial" w:cs="arial"/>
            <w:i w:val="false"/>
            <w:spacing w:val="4"/>
          </w:rPr>
          <w:t>Major Players</w:t>
        </w:r>
        <w:r>
          <w:tab/>
        </w:r>
        <w:r>
          <w:fldChar w:fldCharType="begin"/>
        </w:r>
        <w:r>
          <w:instrText xml:space="preserve">PAGEREF </w:instrText>
        </w:r>
        <w:r>
          <w:instrText>_Toc28 \h</w:instrText>
        </w:r>
        <w:r>
          <w:fldChar w:fldCharType="separate"/>
        </w:r>
        <w:r>
          <w:rPr/>
          <w:t>27</w:t>
        </w:r>
        <w:r>
          <w:fldChar w:fldCharType="end"/>
        </w:r>
      </w:hyperlink>
    </w:p>
    <w:p>
      <w:pPr>
        <w:pStyle w:val="toc 2"/>
        <w:tabs>
          <w:tab w:pos="4606" w:val="right" w:leader="dot"/>
        </w:tabs>
      </w:pPr>
      <w:hyperlink w:anchor="_Toc29">
        <w:r>
          <w:rPr>
            <w:rFonts w:ascii="arial" w:eastAsia="arial" w:hAnsi="arial" w:cs="arial"/>
            <w:i w:val="false"/>
            <w:spacing w:val="4"/>
          </w:rPr>
          <w:t>Other Companies</w:t>
        </w:r>
        <w:r>
          <w:tab/>
        </w:r>
        <w:r>
          <w:fldChar w:fldCharType="begin"/>
        </w:r>
        <w:r>
          <w:instrText xml:space="preserve">PAGEREF </w:instrText>
        </w:r>
        <w:r>
          <w:instrText>_Toc29 \h</w:instrText>
        </w:r>
        <w:r>
          <w:fldChar w:fldCharType="separate"/>
        </w:r>
        <w:r>
          <w:rPr/>
          <w:t>28</w:t>
        </w:r>
        <w:r>
          <w:fldChar w:fldCharType="end"/>
        </w:r>
      </w:hyperlink>
    </w:p>
    <w:p>
      <w:pPr>
        <w:pStyle w:val="toc 1"/>
        <w:tabs>
          <w:tab w:pos="4606" w:val="right" w:leader="dot"/>
        </w:tabs>
      </w:pPr>
      <w:hyperlink w:anchor="_Toc30">
        <w:r>
          <w:rPr>
            <w:rFonts w:ascii="arial" w:eastAsia="arial" w:hAnsi="arial" w:cs="arial"/>
            <w:b w:val="false"/>
            <w:bCs w:val="false"/>
            <w:i w:val="false"/>
          </w:rPr>
          <w:t>Operating Conditions</w:t>
        </w:r>
        <w:r>
          <w:tab/>
        </w:r>
        <w:r>
          <w:fldChar w:fldCharType="begin"/>
        </w:r>
        <w:r>
          <w:instrText xml:space="preserve">PAGEREF </w:instrText>
        </w:r>
        <w:r>
          <w:instrText>_Toc30 \h</w:instrText>
        </w:r>
        <w:r>
          <w:fldChar w:fldCharType="separate"/>
        </w:r>
        <w:r>
          <w:rPr/>
          <w:t>29</w:t>
        </w:r>
        <w:r>
          <w:fldChar w:fldCharType="end"/>
        </w:r>
      </w:hyperlink>
    </w:p>
    <w:p>
      <w:pPr>
        <w:pStyle w:val="toc 2"/>
        <w:tabs>
          <w:tab w:pos="4606" w:val="right" w:leader="dot"/>
        </w:tabs>
      </w:pPr>
      <w:hyperlink w:anchor="_Toc31">
        <w:r>
          <w:rPr>
            <w:rFonts w:ascii="arial" w:eastAsia="arial" w:hAnsi="arial" w:cs="arial"/>
            <w:i w:val="false"/>
            <w:spacing w:val="4"/>
          </w:rPr>
          <w:t>Capital Intensity</w:t>
        </w:r>
        <w:r>
          <w:tab/>
        </w:r>
        <w:r>
          <w:fldChar w:fldCharType="begin"/>
        </w:r>
        <w:r>
          <w:instrText xml:space="preserve">PAGEREF </w:instrText>
        </w:r>
        <w:r>
          <w:instrText>_Toc31 \h</w:instrText>
        </w:r>
        <w:r>
          <w:fldChar w:fldCharType="separate"/>
        </w:r>
        <w:r>
          <w:rPr/>
          <w:t>29</w:t>
        </w:r>
        <w:r>
          <w:fldChar w:fldCharType="end"/>
        </w:r>
      </w:hyperlink>
    </w:p>
    <w:p>
      <w:pPr>
        <w:pStyle w:val="toc 2"/>
        <w:tabs>
          <w:tab w:pos="4606" w:val="right" w:leader="dot"/>
        </w:tabs>
      </w:pPr>
      <w:hyperlink w:anchor="_Toc32">
        <w:r>
          <w:rPr>
            <w:rFonts w:ascii="arial" w:eastAsia="arial" w:hAnsi="arial" w:cs="arial"/>
            <w:i w:val="false"/>
            <w:spacing w:val="4"/>
          </w:rPr>
          <w:t>Technology &amp; Systems</w:t>
        </w:r>
        <w:r>
          <w:tab/>
        </w:r>
        <w:r>
          <w:fldChar w:fldCharType="begin"/>
        </w:r>
        <w:r>
          <w:instrText xml:space="preserve">PAGEREF </w:instrText>
        </w:r>
        <w:r>
          <w:instrText>_Toc32 \h</w:instrText>
        </w:r>
        <w:r>
          <w:fldChar w:fldCharType="separate"/>
        </w:r>
        <w:r>
          <w:rPr/>
          <w:t>29</w:t>
        </w:r>
        <w:r>
          <w:fldChar w:fldCharType="end"/>
        </w:r>
      </w:hyperlink>
    </w:p>
    <w:p>
      <w:pPr>
        <w:pStyle w:val="toc 2"/>
        <w:tabs>
          <w:tab w:pos="4606" w:val="right" w:leader="dot"/>
        </w:tabs>
      </w:pPr>
      <w:hyperlink w:anchor="_Toc33">
        <w:r>
          <w:rPr>
            <w:rFonts w:ascii="arial" w:eastAsia="arial" w:hAnsi="arial" w:cs="arial"/>
            <w:i w:val="false"/>
            <w:spacing w:val="4"/>
          </w:rPr>
          <w:t>Revenue Volatility</w:t>
        </w:r>
        <w:r>
          <w:tab/>
        </w:r>
        <w:r>
          <w:fldChar w:fldCharType="begin"/>
        </w:r>
        <w:r>
          <w:instrText xml:space="preserve">PAGEREF </w:instrText>
        </w:r>
        <w:r>
          <w:instrText>_Toc33 \h</w:instrText>
        </w:r>
        <w:r>
          <w:fldChar w:fldCharType="separate"/>
        </w:r>
        <w:r>
          <w:rPr/>
          <w:t>31</w:t>
        </w:r>
        <w:r>
          <w:fldChar w:fldCharType="end"/>
        </w:r>
      </w:hyperlink>
    </w:p>
    <w:p>
      <w:pPr>
        <w:pStyle w:val="toc 2"/>
        <w:tabs>
          <w:tab w:pos="4606" w:val="right" w:leader="dot"/>
        </w:tabs>
      </w:pPr>
      <w:hyperlink w:anchor="_Toc34">
        <w:r>
          <w:rPr>
            <w:rFonts w:ascii="arial" w:eastAsia="arial" w:hAnsi="arial" w:cs="arial"/>
            <w:i w:val="false"/>
            <w:spacing w:val="4"/>
          </w:rPr>
          <w:t>Regulation &amp; Policy</w:t>
        </w:r>
        <w:r>
          <w:tab/>
        </w:r>
        <w:r>
          <w:fldChar w:fldCharType="begin"/>
        </w:r>
        <w:r>
          <w:instrText xml:space="preserve">PAGEREF </w:instrText>
        </w:r>
        <w:r>
          <w:instrText>_Toc34 \h</w:instrText>
        </w:r>
        <w:r>
          <w:fldChar w:fldCharType="separate"/>
        </w:r>
        <w:r>
          <w:rPr/>
          <w:t>31</w:t>
        </w:r>
        <w:r>
          <w:fldChar w:fldCharType="end"/>
        </w:r>
      </w:hyperlink>
    </w:p>
    <w:p>
      <w:pPr>
        <w:pStyle w:val="toc 2"/>
        <w:tabs>
          <w:tab w:pos="4606" w:val="right" w:leader="dot"/>
        </w:tabs>
      </w:pPr>
      <w:hyperlink w:anchor="_Toc35">
        <w:r>
          <w:rPr>
            <w:rFonts w:ascii="arial" w:eastAsia="arial" w:hAnsi="arial" w:cs="arial"/>
            <w:i w:val="false"/>
            <w:spacing w:val="4"/>
          </w:rPr>
          <w:t>Industry Assistance</w:t>
        </w:r>
        <w:r>
          <w:tab/>
        </w:r>
        <w:r>
          <w:fldChar w:fldCharType="begin"/>
        </w:r>
        <w:r>
          <w:instrText xml:space="preserve">PAGEREF </w:instrText>
        </w:r>
        <w:r>
          <w:instrText>_Toc35 \h</w:instrText>
        </w:r>
        <w:r>
          <w:fldChar w:fldCharType="separate"/>
        </w:r>
        <w:r>
          <w:rPr/>
          <w:t>32</w:t>
        </w:r>
        <w:r>
          <w:fldChar w:fldCharType="end"/>
        </w:r>
      </w:hyperlink>
    </w:p>
    <w:p>
      <w:pPr>
        <w:pStyle w:val="toc 1"/>
        <w:tabs>
          <w:tab w:pos="4606" w:val="right" w:leader="dot"/>
        </w:tabs>
      </w:pPr>
      <w:hyperlink w:anchor="_Toc36">
        <w:r>
          <w:rPr>
            <w:rFonts w:ascii="arial" w:eastAsia="arial" w:hAnsi="arial" w:cs="arial"/>
            <w:b w:val="false"/>
            <w:bCs w:val="false"/>
            <w:i w:val="false"/>
          </w:rPr>
          <w:t>Key Statistics</w:t>
        </w:r>
        <w:r>
          <w:tab/>
        </w:r>
        <w:r>
          <w:fldChar w:fldCharType="begin"/>
        </w:r>
        <w:r>
          <w:instrText xml:space="preserve">PAGEREF </w:instrText>
        </w:r>
        <w:r>
          <w:instrText>_Toc36 \h</w:instrText>
        </w:r>
        <w:r>
          <w:fldChar w:fldCharType="separate"/>
        </w:r>
        <w:r>
          <w:rPr/>
          <w:t>33</w:t>
        </w:r>
        <w:r>
          <w:fldChar w:fldCharType="end"/>
        </w:r>
      </w:hyperlink>
    </w:p>
    <w:p>
      <w:pPr>
        <w:pStyle w:val="toc 2"/>
        <w:tabs>
          <w:tab w:pos="4606" w:val="right" w:leader="dot"/>
        </w:tabs>
      </w:pPr>
      <w:hyperlink w:anchor="_Toc37">
        <w:r>
          <w:rPr>
            <w:rFonts w:ascii="arial" w:eastAsia="arial" w:hAnsi="arial" w:cs="arial"/>
            <w:i w:val="false"/>
            <w:spacing w:val="4"/>
          </w:rPr>
          <w:t>Industry Data</w:t>
        </w:r>
        <w:r>
          <w:tab/>
        </w:r>
        <w:r>
          <w:fldChar w:fldCharType="begin"/>
        </w:r>
        <w:r>
          <w:instrText xml:space="preserve">PAGEREF </w:instrText>
        </w:r>
        <w:r>
          <w:instrText>_Toc37 \h</w:instrText>
        </w:r>
        <w:r>
          <w:fldChar w:fldCharType="separate"/>
        </w:r>
        <w:r>
          <w:rPr/>
          <w:t>33</w:t>
        </w:r>
        <w:r>
          <w:fldChar w:fldCharType="end"/>
        </w:r>
      </w:hyperlink>
    </w:p>
    <w:p>
      <w:pPr>
        <w:pStyle w:val="toc 2"/>
        <w:tabs>
          <w:tab w:pos="4606" w:val="right" w:leader="dot"/>
        </w:tabs>
      </w:pPr>
      <w:hyperlink w:anchor="_Toc38">
        <w:r>
          <w:rPr>
            <w:rFonts w:ascii="arial" w:eastAsia="arial" w:hAnsi="arial" w:cs="arial"/>
            <w:i w:val="false"/>
            <w:spacing w:val="4"/>
          </w:rPr>
          <w:t>Annual Change</w:t>
        </w:r>
        <w:r>
          <w:tab/>
        </w:r>
        <w:r>
          <w:fldChar w:fldCharType="begin"/>
        </w:r>
        <w:r>
          <w:instrText xml:space="preserve">PAGEREF </w:instrText>
        </w:r>
        <w:r>
          <w:instrText>_Toc38 \h</w:instrText>
        </w:r>
        <w:r>
          <w:fldChar w:fldCharType="separate"/>
        </w:r>
        <w:r>
          <w:rPr/>
          <w:t>33</w:t>
        </w:r>
        <w:r>
          <w:fldChar w:fldCharType="end"/>
        </w:r>
      </w:hyperlink>
    </w:p>
    <w:p>
      <w:pPr>
        <w:pStyle w:val="toc 2"/>
        <w:tabs>
          <w:tab w:pos="4606" w:val="right" w:leader="dot"/>
        </w:tabs>
      </w:pPr>
      <w:hyperlink w:anchor="_Toc39">
        <w:r>
          <w:rPr>
            <w:rFonts w:ascii="arial" w:eastAsia="arial" w:hAnsi="arial" w:cs="arial"/>
            <w:i w:val="false"/>
            <w:spacing w:val="4"/>
          </w:rPr>
          <w:t>Key Ratios</w:t>
        </w:r>
        <w:r>
          <w:tab/>
        </w:r>
        <w:r>
          <w:fldChar w:fldCharType="begin"/>
        </w:r>
        <w:r>
          <w:instrText xml:space="preserve">PAGEREF </w:instrText>
        </w:r>
        <w:r>
          <w:instrText>_Toc39 \h</w:instrText>
        </w:r>
        <w:r>
          <w:fldChar w:fldCharType="separate"/>
        </w:r>
        <w:r>
          <w:rPr/>
          <w:t>33</w:t>
        </w:r>
        <w:r>
          <w:fldChar w:fldCharType="end"/>
        </w:r>
      </w:hyperlink>
    </w:p>
    <w:p>
      <w:pPr>
        <w:pStyle w:val="toc 2"/>
        <w:tabs>
          <w:tab w:pos="4606" w:val="right" w:leader="dot"/>
        </w:tabs>
      </w:pPr>
      <w:hyperlink w:anchor="_Toc40">
        <w:r>
          <w:rPr>
            <w:rFonts w:ascii="arial" w:eastAsia="arial" w:hAnsi="arial" w:cs="arial"/>
            <w:i w:val="false"/>
            <w:spacing w:val="4"/>
          </w:rPr>
          <w:t>Industry Financial Ratios</w:t>
        </w:r>
        <w:r>
          <w:tab/>
        </w:r>
        <w:r>
          <w:fldChar w:fldCharType="begin"/>
        </w:r>
        <w:r>
          <w:instrText xml:space="preserve">PAGEREF </w:instrText>
        </w:r>
        <w:r>
          <w:instrText>_Toc40 \h</w:instrText>
        </w:r>
        <w:r>
          <w:fldChar w:fldCharType="separate"/>
        </w:r>
        <w:r>
          <w:rPr/>
          <w:t>34</w:t>
        </w:r>
        <w:r>
          <w:fldChar w:fldCharType="end"/>
        </w:r>
      </w:hyperlink>
    </w:p>
    <w:p>
      <w:pPr>
        <w:pStyle w:val="toc 1"/>
        <w:tabs>
          <w:tab w:pos="4606" w:val="right" w:leader="dot"/>
        </w:tabs>
      </w:pPr>
      <w:hyperlink w:anchor="_Toc41">
        <w:r>
          <w:rPr>
            <w:rFonts w:ascii="arial" w:eastAsia="arial" w:hAnsi="arial" w:cs="arial"/>
            <w:b w:val="false"/>
            <w:bCs w:val="false"/>
            <w:i w:val="false"/>
          </w:rPr>
          <w:t>Additional Resources</w:t>
        </w:r>
        <w:r>
          <w:tab/>
        </w:r>
        <w:r>
          <w:fldChar w:fldCharType="begin"/>
        </w:r>
        <w:r>
          <w:instrText xml:space="preserve">PAGEREF </w:instrText>
        </w:r>
        <w:r>
          <w:instrText>_Toc41 \h</w:instrText>
        </w:r>
        <w:r>
          <w:fldChar w:fldCharType="separate"/>
        </w:r>
        <w:r>
          <w:rPr/>
          <w:t>35</w:t>
        </w:r>
        <w:r>
          <w:fldChar w:fldCharType="end"/>
        </w:r>
      </w:hyperlink>
    </w:p>
    <w:p>
      <w:pPr>
        <w:pStyle w:val="toc 2"/>
        <w:tabs>
          <w:tab w:pos="4606" w:val="right" w:leader="dot"/>
        </w:tabs>
      </w:pPr>
      <w:hyperlink w:anchor="_Toc42">
        <w:r>
          <w:rPr>
            <w:rFonts w:ascii="arial" w:eastAsia="arial" w:hAnsi="arial" w:cs="arial"/>
            <w:i w:val="false"/>
            <w:spacing w:val="4"/>
          </w:rPr>
          <w:t>Additional Resources</w:t>
        </w:r>
        <w:r>
          <w:tab/>
        </w:r>
        <w:r>
          <w:fldChar w:fldCharType="begin"/>
        </w:r>
        <w:r>
          <w:instrText xml:space="preserve">PAGEREF </w:instrText>
        </w:r>
        <w:r>
          <w:instrText>_Toc42 \h</w:instrText>
        </w:r>
        <w:r>
          <w:fldChar w:fldCharType="separate"/>
        </w:r>
        <w:r>
          <w:rPr/>
          <w:t>35</w:t>
        </w:r>
        <w:r>
          <w:fldChar w:fldCharType="end"/>
        </w:r>
      </w:hyperlink>
    </w:p>
    <w:p>
      <w:pPr>
        <w:pStyle w:val="toc 2"/>
        <w:tabs>
          <w:tab w:pos="4606" w:val="right" w:leader="dot"/>
        </w:tabs>
      </w:pPr>
      <w:hyperlink w:anchor="_Toc43">
        <w:r>
          <w:rPr>
            <w:rFonts w:ascii="arial" w:eastAsia="arial" w:hAnsi="arial" w:cs="arial"/>
            <w:i w:val="false"/>
            <w:spacing w:val="4"/>
          </w:rPr>
          <w:t>Industry Jargon</w:t>
        </w:r>
        <w:r>
          <w:tab/>
        </w:r>
        <w:r>
          <w:fldChar w:fldCharType="begin"/>
        </w:r>
        <w:r>
          <w:instrText xml:space="preserve">PAGEREF </w:instrText>
        </w:r>
        <w:r>
          <w:instrText>_Toc43 \h</w:instrText>
        </w:r>
        <w:r>
          <w:fldChar w:fldCharType="separate"/>
        </w:r>
        <w:r>
          <w:rPr/>
          <w:t>35</w:t>
        </w:r>
        <w:r>
          <w:fldChar w:fldCharType="end"/>
        </w:r>
      </w:hyperlink>
    </w:p>
    <w:p>
      <w:pPr>
        <w:pStyle w:val="toc 2"/>
        <w:tabs>
          <w:tab w:pos="4606" w:val="right" w:leader="dot"/>
        </w:tabs>
      </w:pPr>
      <w:hyperlink w:anchor="_Toc44">
        <w:r>
          <w:rPr>
            <w:rFonts w:ascii="arial" w:eastAsia="arial" w:hAnsi="arial" w:cs="arial"/>
            <w:i w:val="false"/>
            <w:spacing w:val="4"/>
          </w:rPr>
          <w:t>Glossary</w:t>
        </w:r>
        <w:r>
          <w:tab/>
        </w:r>
        <w:r>
          <w:fldChar w:fldCharType="begin"/>
        </w:r>
        <w:r>
          <w:instrText xml:space="preserve">PAGEREF </w:instrText>
        </w:r>
        <w:r>
          <w:instrText>_Toc44 \h</w:instrText>
        </w:r>
        <w:r>
          <w:fldChar w:fldCharType="separate"/>
        </w:r>
        <w:r>
          <w:rPr/>
          <w:t>35</w:t>
        </w:r>
        <w:r>
          <w:fldChar w:fldCharType="end"/>
        </w:r>
      </w:hyperlink>
    </w:p>
    <w:p>
      <w:pPr>
        <w:sectPr>
          <w:headerReference w:type="default" r:id="gemHfRid7"/>
          <w:footerReference w:type="default" r:id="gemHfRid8"/>
          <w:type w:val="continuous"/>
          <w:pgSz w:w="11907" w:h="16839" w:code="9"/>
          <w:pgMar w:top="800" w:right="640" w:bottom="1417" w:left="640" w:header="0" w:footer="0" w:gutter="0"/>
          <w:cols w:num="2" w:space="708"/>
          <w:docGrid w:linePitch="360"/>
        </w:sectPr>
      </w:pPr>
      <w:r>
        <w:fldChar w:fldCharType="end"/>
      </w:r>
      <w:r>
        <w:br w:type="page"/>
      </w:r>
    </w:p>
    <w:tbl>
      <w:tblPr>
        <w:tblW w:w="5000" w:type="pct"/>
        <w:jc w:val="left"/>
        <w:tblBorders>
          <w:top w:val="nil"/>
          <w:left w:val="nil"/>
          <w:bottom w:val="nil"/>
          <w:right w:val="nil"/>
          <w:insideH w:val="nil"/>
          <w:insideV w:val="nil"/>
        </w:tblBorders>
      </w:tblPr>
      <w:tr>
        <w:tc>
          <w:tcPr>
            <w:tcW w:w="1000" w:type="pct"/>
            <w:vAlign w:val="top"/>
          </w:tcPr>
          <w:p>
            <w:pPr>
              <w:pStyle w:val="heading 2"/>
              <w:keepNext/>
              <w:spacing w:before="0" w:after="0" w:lineRule="atLeast" w:line="270"/>
              <w:ind w:left="0" w:right="0" w:hanging="0"/>
              <w:jc w:val="left"/>
              <w:rPr>
                <w:rFonts w:ascii="arial" w:eastAsia="arial" w:hAnsi="arial" w:cs="arial"/>
                <w:b/>
                <w:bCs/>
                <w:i w:val="false"/>
                <w:color w:val="333333"/>
                <w:spacing w:val="4"/>
                <w:sz w:val="21"/>
                <w:szCs w:val="21"/>
              </w:rPr>
            </w:pPr>
            <w:bookmarkStart w:id="0" w:name="_Toc1"/>
            <w:r>
              <w:rPr>
                <w:rFonts w:ascii="arial" w:eastAsia="arial" w:hAnsi="arial" w:cs="arial"/>
                <w:b/>
                <w:bCs/>
                <w:i w:val="false"/>
                <w:color w:val="333333"/>
                <w:spacing w:val="4"/>
                <w:sz w:val="21"/>
                <w:szCs w:val="21"/>
              </w:rPr>
              <w:t>COVID-19 (Coronavirus)</w:t>
            </w:r>
            <w:r>
              <w:br/>
            </w:r>
            <w:r>
              <w:rPr>
                <w:rFonts w:ascii="arial" w:eastAsia="arial" w:hAnsi="arial" w:cs="arial"/>
                <w:b/>
                <w:bCs/>
                <w:i w:val="false"/>
                <w:color w:val="333333"/>
                <w:spacing w:val="4"/>
                <w:sz w:val="21"/>
                <w:szCs w:val="21"/>
              </w:rPr>
              <w:t>Impact Update</w:t>
            </w:r>
            <w:bookmarkEnd w:id="0"/>
          </w:p>
        </w:tc>
        <w:tc>
          <w:tcPr>
            <w:tcW w:w="4000" w:type="pct"/>
            <w:vAlign w:val="top"/>
          </w:tcPr>
          <w:p>
            <w:pPr>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IBISWorld's analysts constantly monitor the industry impacts of current events in real-time – here is an update of how this industry is likely to be impacted as a result of the global COVID-19 pandemic:</w:t>
            </w:r>
          </w:p>
          <w:p>
            <w:pPr>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Revenue for the Men's Clothing Stores industry has been adjusted to a decline of 15.7% in 2020 due to falling demand and limited revenue streams as a result of store closures. For more detail, see the Current Performance chapter.</w:t>
            </w:r>
          </w:p>
          <w:p>
            <w:pPr>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Since the majority of men's clothing is manufactured abroad, the industry's purchase costs are expected to fluctuate, leading to unsteady profit. For more detail, see the Cost Structure Benchmarks chapter.</w:t>
            </w:r>
          </w:p>
          <w:p>
            <w:pPr>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Demand for office and formal wear, such as suits, is anticipated to decline as unemployment increases. For more detail, see the Products and Services chapter.</w:t>
            </w:r>
          </w:p>
          <w:p>
            <w:pPr>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Note: The content in this report is currently being updated to reflect the trends outlined above.</w:t>
            </w:r>
          </w:p>
        </w:tc>
      </w:tr>
    </w:tbl>
    <w:p>
      <w:pPr>
        <w:sectPr>
          <w:headerReference w:type="default" r:id="gemHfRid9"/>
          <w:footerReference w:type="default" r:id="gemHfRid10"/>
          <w:pgSz w:w="11907" w:h="16839" w:code="9"/>
          <w:pgMar w:top="800" w:right="640" w:bottom="1417" w:left="640" w:header="0" w:footer="0" w:gutter="0"/>
          <w:cols w:space="708"/>
          <w:docGrid w:linePitch="360"/>
        </w:sectPr>
      </w:pPr>
    </w:p>
    <w:p>
      <w:pPr>
        <w:pStyle w:val="heading 3"/>
        <w:spacing w:before="0" w:after="210" w:lineRule="atLeast" w:line="390"/>
        <w:ind w:left="0" w:right="0" w:hanging="0"/>
        <w:jc w:val="left"/>
        <w:rPr>
          <w:rFonts w:ascii="arial" w:eastAsia="arial" w:hAnsi="arial" w:cs="arial"/>
          <w:b w:val="false"/>
          <w:bCs w:val="false"/>
          <w:i w:val="false"/>
          <w:color w:val="333333"/>
          <w:sz w:val="36"/>
          <w:szCs w:val="36"/>
        </w:rPr>
      </w:pPr>
      <w:r>
        <w:rPr>
          <w:rFonts w:ascii="arial" w:eastAsia="arial" w:hAnsi="arial" w:cs="arial"/>
          <w:b w:val="false"/>
          <w:bCs w:val="false"/>
          <w:i w:val="false"/>
          <w:color w:val="333333"/>
          <w:sz w:val="36"/>
          <w:szCs w:val="36"/>
        </w:rPr>
        <w:t>About IBISWorld</w:t>
      </w:r>
    </w:p>
    <w:p>
      <w:pPr>
        <w:spacing w:before="165" w:after="165"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IBISWorld specializes in industry research with coverage on thousands of global industries. Our comprehensive data and in-depth analysis help businesses of all types gain quick and actionable insights on industries around the world. Busy professionals can spend less time researching and preparing for meetings, and more time focused on making strategic business decisions that benefit you, your company and your clients. We offer research on industries in the US, Canada, Australia, New Zealand, Germany, the UK, Ireland, China and Mexico, as well as industries that are truly global in nature.</w:t>
      </w:r>
    </w:p>
    <w:p>
      <w:pPr>
        <w:sectPr>
          <w:headerReference w:type="default" r:id="gemHfRid11"/>
          <w:footerReference w:type="default" r:id="gemHfRid12"/>
          <w:pgSz w:w="11907" w:h="16839" w:code="9"/>
          <w:pgMar w:top="800" w:right="640" w:bottom="1417" w:left="640" w:header="0" w:footer="0" w:gutter="0"/>
          <w:cols w:space="708"/>
          <w:docGrid w:linePitch="360"/>
        </w:sectPr>
      </w:pPr>
    </w:p>
    <w:p>
      <w:pPr>
        <w:pStyle w:val="heading 1"/>
        <w:spacing w:before="0" w:after="240" w:lineRule="atLeast" w:line="420"/>
        <w:ind w:left="0" w:right="0" w:hanging="0"/>
        <w:jc w:val="left"/>
        <w:rPr>
          <w:rFonts w:ascii="arial" w:eastAsia="arial" w:hAnsi="arial" w:cs="arial"/>
          <w:b w:val="false"/>
          <w:bCs w:val="false"/>
          <w:i w:val="false"/>
          <w:color w:val="333333"/>
          <w:sz w:val="36"/>
          <w:szCs w:val="36"/>
        </w:rPr>
      </w:pPr>
      <w:bookmarkStart w:id="1" w:name="_Toc2"/>
      <w:r>
        <w:rPr>
          <w:rFonts w:ascii="arial" w:eastAsia="arial" w:hAnsi="arial" w:cs="arial"/>
          <w:b w:val="false"/>
          <w:bCs w:val="false"/>
          <w:i w:val="false"/>
          <w:color w:val="333333"/>
          <w:sz w:val="36"/>
          <w:szCs w:val="36"/>
        </w:rPr>
        <w:t>About This Industry</w:t>
      </w:r>
      <w:bookmarkEnd w:id="1"/>
    </w:p>
    <w:tbl>
      <w:tblPr>
        <w:tblW w:w="5000" w:type="pct"/>
        <w:jc w:val="left"/>
        <w:tblBorders>
          <w:top w:val="nil"/>
          <w:left w:val="nil"/>
          <w:bottom w:val="nil"/>
          <w:right w:val="nil"/>
          <w:insideH w:val="nil"/>
          <w:insideV w:val="nil"/>
        </w:tblBorders>
      </w:tblP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2" w:name="_Toc3"/>
            <w:r>
              <w:rPr>
                <w:rFonts w:ascii="arial" w:eastAsia="arial" w:hAnsi="arial" w:cs="arial"/>
                <w:b/>
                <w:bCs/>
                <w:i w:val="false"/>
                <w:color w:val="333333"/>
                <w:spacing w:val="4"/>
                <w:sz w:val="21"/>
                <w:szCs w:val="21"/>
              </w:rPr>
              <w:t>Industry Definition</w:t>
            </w:r>
            <w:bookmarkEnd w:id="2"/>
          </w:p>
        </w:tc>
        <w:tc>
          <w:tcPr>
            <w:tcW w:w="4000" w:type="pct"/>
            <w:vAlign w:val="top"/>
          </w:tcPr>
          <w:p>
            <w:pPr>
              <w:keepNext/>
              <w:keepLines/>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Men's clothing stores retail a variety of men's and boys' suits, formal wear, shirts, t-shirts, casual slacks, jeans, sport coats, blazers, sports apparel, sweaters, overcoats, raincoats and accessories. Operators may also offer custom suits and other clothing through alterations such as hemming, taking in or letting out seams and lengthening or shortening sleeves.</w:t>
            </w: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3" w:name="_Toc4"/>
            <w:r>
              <w:rPr>
                <w:rFonts w:ascii="arial" w:eastAsia="arial" w:hAnsi="arial" w:cs="arial"/>
                <w:b/>
                <w:bCs/>
                <w:i w:val="false"/>
                <w:color w:val="333333"/>
                <w:spacing w:val="4"/>
                <w:sz w:val="21"/>
                <w:szCs w:val="21"/>
              </w:rPr>
              <w:t>Major Players</w:t>
            </w:r>
            <w:bookmarkEnd w:id="3"/>
          </w:p>
        </w:tc>
        <w:tc>
          <w:tcPr>
            <w:tcW w:w="4000" w:type="pct"/>
            <w:vAlign w:val="top"/>
          </w:tcPr>
          <w:p>
            <w:pPr>
              <w:numPr>
                <w:ilvl w:val="0"/>
                <w:numId w:val="1"/>
              </w:numPr>
              <w:keepNext/>
              <w:keepLines/>
              <w:spacing w:before="0" w:after="240" w:lineRule="atLeast" w:line="225"/>
              <w:ind w:left="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Tailored Brands</w:t>
            </w: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4" w:name="_Toc5"/>
            <w:r>
              <w:rPr>
                <w:rFonts w:ascii="arial" w:eastAsia="arial" w:hAnsi="arial" w:cs="arial"/>
                <w:b/>
                <w:bCs/>
                <w:i w:val="false"/>
                <w:color w:val="333333"/>
                <w:spacing w:val="4"/>
                <w:sz w:val="21"/>
                <w:szCs w:val="21"/>
              </w:rPr>
              <w:t>Main Activities</w:t>
            </w:r>
            <w:bookmarkEnd w:id="4"/>
          </w:p>
        </w:tc>
        <w:tc>
          <w:tcPr>
            <w:tcW w:w="4000" w:type="pct"/>
            <w:vAlign w:val="top"/>
          </w:tcPr>
          <w:p>
            <w:pPr>
              <w:pStyle w:val="heading 3"/>
              <w:keepNext/>
              <w:keepLines/>
              <w:spacing w:before="0" w:after="180" w:lineRule="atLeast" w:line="270"/>
              <w:ind w:left="0" w:right="0" w:hanging="0"/>
              <w:jc w:val="left"/>
              <w:rPr>
                <w:rFonts w:ascii="arial" w:eastAsia="arial" w:hAnsi="arial" w:cs="arial"/>
                <w:b/>
                <w:bCs/>
                <w:i w:val="false"/>
                <w:color w:val="000000"/>
                <w:sz w:val="18"/>
                <w:szCs w:val="18"/>
              </w:rPr>
            </w:pPr>
            <w:r>
              <w:rPr>
                <w:rFonts w:ascii="arial" w:eastAsia="arial" w:hAnsi="arial" w:cs="arial"/>
                <w:b/>
                <w:bCs/>
                <w:i w:val="false"/>
                <w:color w:val="000000"/>
                <w:sz w:val="18"/>
                <w:szCs w:val="18"/>
              </w:rPr>
              <w:t>The primary activities of this industry are:</w:t>
            </w:r>
          </w:p>
          <w:p>
            <w:pPr>
              <w:numPr>
                <w:ilvl w:val="0"/>
                <w:numId w:val="2"/>
              </w:numPr>
              <w:keepNext/>
              <w:keepLines/>
              <w:spacing w:before="0" w:after="120" w:lineRule="atLeast" w:line="225"/>
              <w:ind w:left="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Men's and boys' clothing retailing</w:t>
            </w:r>
          </w:p>
          <w:p>
            <w:pPr>
              <w:numPr>
                <w:ilvl w:val="0"/>
                <w:numId w:val="2"/>
              </w:numPr>
              <w:keepNext/>
              <w:keepLines/>
              <w:spacing w:before="0" w:after="120" w:lineRule="atLeast" w:line="225"/>
              <w:ind w:left="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Men's and boys' clothing accessories retailing</w:t>
            </w:r>
          </w:p>
          <w:p>
            <w:pPr>
              <w:numPr>
                <w:ilvl w:val="0"/>
                <w:numId w:val="2"/>
              </w:numPr>
              <w:keepNext/>
              <w:keepLines/>
              <w:spacing w:before="0" w:after="120" w:lineRule="atLeast" w:line="225"/>
              <w:ind w:left="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Men's and boys' undergarments retailing, including socks and undershirts</w:t>
            </w:r>
          </w:p>
          <w:p>
            <w:pPr>
              <w:numPr>
                <w:ilvl w:val="0"/>
                <w:numId w:val="2"/>
              </w:numPr>
              <w:keepNext/>
              <w:keepLines/>
              <w:spacing w:before="0" w:after="240" w:lineRule="atLeast" w:line="225"/>
              <w:ind w:left="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Altering men's and boys' clothing</w:t>
            </w:r>
          </w:p>
          <w:p>
            <w:pPr>
              <w:pStyle w:val="heading 3"/>
              <w:keepNext/>
              <w:keepLines/>
              <w:spacing w:before="0" w:after="180" w:lineRule="atLeast" w:line="270"/>
              <w:ind w:left="0" w:right="0" w:hanging="0"/>
              <w:jc w:val="left"/>
              <w:rPr>
                <w:rFonts w:ascii="arial" w:eastAsia="arial" w:hAnsi="arial" w:cs="arial"/>
                <w:b/>
                <w:bCs/>
                <w:i w:val="false"/>
                <w:color w:val="000000"/>
                <w:sz w:val="18"/>
                <w:szCs w:val="18"/>
              </w:rPr>
            </w:pPr>
            <w:r>
              <w:rPr>
                <w:rFonts w:ascii="arial" w:eastAsia="arial" w:hAnsi="arial" w:cs="arial"/>
                <w:b/>
                <w:bCs/>
                <w:i w:val="false"/>
                <w:color w:val="000000"/>
                <w:sz w:val="18"/>
                <w:szCs w:val="18"/>
              </w:rPr>
              <w:t>The major products and services in this industry are:</w:t>
            </w:r>
          </w:p>
          <w:p>
            <w:pPr>
              <w:numPr>
                <w:ilvl w:val="0"/>
                <w:numId w:val="3"/>
              </w:numPr>
              <w:keepNext/>
              <w:keepLines/>
              <w:spacing w:before="0" w:after="120" w:lineRule="atLeast" w:line="225"/>
              <w:ind w:left="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Suits and formal wear</w:t>
            </w:r>
          </w:p>
          <w:p>
            <w:pPr>
              <w:numPr>
                <w:ilvl w:val="0"/>
                <w:numId w:val="3"/>
              </w:numPr>
              <w:keepNext/>
              <w:keepLines/>
              <w:spacing w:before="0" w:after="120" w:lineRule="atLeast" w:line="225"/>
              <w:ind w:left="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Casual wear</w:t>
            </w:r>
          </w:p>
          <w:p>
            <w:pPr>
              <w:numPr>
                <w:ilvl w:val="0"/>
                <w:numId w:val="3"/>
              </w:numPr>
              <w:keepNext/>
              <w:keepLines/>
              <w:spacing w:before="0" w:after="120" w:lineRule="atLeast" w:line="225"/>
              <w:ind w:left="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Office wear</w:t>
            </w:r>
          </w:p>
          <w:p>
            <w:pPr>
              <w:numPr>
                <w:ilvl w:val="0"/>
                <w:numId w:val="3"/>
              </w:numPr>
              <w:keepNext/>
              <w:keepLines/>
              <w:spacing w:before="0" w:after="120" w:lineRule="atLeast" w:line="225"/>
              <w:ind w:left="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Sport coats and blazers</w:t>
            </w:r>
          </w:p>
          <w:p>
            <w:pPr>
              <w:numPr>
                <w:ilvl w:val="0"/>
                <w:numId w:val="3"/>
              </w:numPr>
              <w:keepNext/>
              <w:keepLines/>
              <w:spacing w:before="0" w:after="120" w:lineRule="atLeast" w:line="225"/>
              <w:ind w:left="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Overcoats and raincoats</w:t>
            </w:r>
          </w:p>
          <w:p>
            <w:pPr>
              <w:numPr>
                <w:ilvl w:val="0"/>
                <w:numId w:val="3"/>
              </w:numPr>
              <w:keepNext/>
              <w:keepLines/>
              <w:spacing w:before="0" w:after="120" w:lineRule="atLeast" w:line="225"/>
              <w:ind w:left="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Accessories</w:t>
            </w:r>
          </w:p>
          <w:p>
            <w:pPr>
              <w:numPr>
                <w:ilvl w:val="0"/>
                <w:numId w:val="3"/>
              </w:numPr>
              <w:keepNext/>
              <w:keepLines/>
              <w:spacing w:before="0" w:after="240" w:lineRule="atLeast" w:line="225"/>
              <w:ind w:left="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Other</w:t>
            </w:r>
          </w:p>
        </w:tc>
      </w:tr>
    </w:tbl>
    <w:p>
      <w:pPr>
        <w:spacing w:before="0" w:after="0" w:lineRule="atLeast" w:line="225"/>
        <w:ind w:hanging="0"/>
        <w:jc w:val="left"/>
        <w:rPr>
          <w:rFonts w:ascii="arial" w:eastAsia="arial" w:hAnsi="arial" w:cs="arial"/>
          <w:b w:val="false"/>
          <w:bCs w:val="false"/>
          <w:i w:val="false"/>
          <w:sz w:val="16"/>
          <w:szCs w:val="16"/>
        </w:rPr>
      </w:pPr>
      <w:r>
        <w:br/>
      </w:r>
    </w:p>
    <w:tbl>
      <w:tblPr>
        <w:tblW w:w="5000" w:type="pct"/>
        <w:jc w:val="left"/>
        <w:tblBorders>
          <w:top w:val="nil"/>
          <w:left w:val="nil"/>
          <w:bottom w:val="nil"/>
          <w:right w:val="nil"/>
          <w:insideH w:val="nil"/>
          <w:insideV w:val="nil"/>
        </w:tblBorders>
      </w:tblPr>
      <w:tr>
        <w:tc>
          <w:tcPr>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5" w:name="_Toc6"/>
            <w:r>
              <w:rPr>
                <w:rFonts w:ascii="arial" w:eastAsia="arial" w:hAnsi="arial" w:cs="arial"/>
                <w:b/>
                <w:bCs/>
                <w:i w:val="false"/>
                <w:color w:val="333333"/>
                <w:spacing w:val="4"/>
                <w:sz w:val="21"/>
                <w:szCs w:val="21"/>
              </w:rPr>
              <w:t>Supply Chain</w:t>
            </w:r>
            <w:bookmarkEnd w:id="5"/>
          </w:p>
          <w:p>
            <w:pPr>
              <w:keepNext/>
              <w:keepLines/>
              <w:spacing w:before="0" w:after="0" w:lineRule="atLeast" w:line="225"/>
              <w:ind w:hanging="0"/>
              <w:jc w:val="left"/>
              <w:rPr>
                <w:rFonts w:ascii="arial" w:eastAsia="arial" w:hAnsi="arial" w:cs="arial"/>
                <w:b w:val="false"/>
                <w:bCs w:val="false"/>
                <w:i w:val="false"/>
                <w:sz w:val="16"/>
                <w:szCs w:val="16"/>
              </w:rPr>
            </w:pPr>
            <w:r>
              <w:br/>
            </w:r>
            <w:r>
              <w:drawing>
                <wp:inline>
                  <wp:extent cx="6667500" cy="3778165"/>
                  <wp:docPr id="9" name="Picture 9"/>
                  <a:graphic xmlns:a="http://schemas.openxmlformats.org/drawingml/2006/main">
                    <a:graphicData uri="http://schemas.openxmlformats.org/drawingml/2006/picture">
                      <pic:pic xmlns:pic="http://schemas.openxmlformats.org/drawingml/2006/picture">
                        <pic:nvPicPr>
                          <pic:cNvPr id="10" name="Picture 10"/>
                          <pic:cNvPicPr/>
                        </pic:nvPicPr>
                        <pic:blipFill>
                          <a:blip r:embed="PictureId5" cstate="print"/>
                          <a:stretch>
                            <a:fillRect/>
                          </a:stretch>
                        </pic:blipFill>
                        <pic:spPr>
                          <a:xfrm>
                            <a:off x="0" y="0"/>
                            <a:ext cx="6667500" cy="3778165"/>
                          </a:xfrm>
                          <a:prstGeom prst="rect">
                            <a:avLst/>
                          </a:prstGeom>
                        </pic:spPr>
                      </pic:pic>
                    </a:graphicData>
                  </a:graphic>
                </wp:inline>
              </w:drawing>
            </w:r>
          </w:p>
        </w:tc>
      </w:tr>
      <w:tr>
        <w:tc>
          <w:tcPr>
            <w:vAlign w:val="top"/>
          </w:tcPr>
          <w:p>
            <w:pPr>
              <w:keepNext/>
              <w:keepLines/>
              <w:spacing w:before="0" w:after="0" w:lineRule="atLeast" w:line="225"/>
              <w:ind w:hanging="0"/>
              <w:jc w:val="left"/>
              <w:rPr>
                <w:rFonts w:ascii="arial" w:eastAsia="arial" w:hAnsi="arial" w:cs="arial"/>
                <w:b w:val="false"/>
                <w:bCs w:val="false"/>
                <w:i w:val="false"/>
                <w:sz w:val="16"/>
                <w:szCs w:val="16"/>
              </w:rPr>
            </w:pPr>
            <w:r>
              <w:br/>
            </w:r>
          </w:p>
          <w:tbl>
            <w:tblPr>
              <w:tblW w:w="5000" w:type="pct"/>
              <w:jc w:val="left"/>
              <w:tblBorders>
                <w:top w:val="nil"/>
                <w:left w:val="nil"/>
                <w:bottom w:val="nil"/>
                <w:right w:val="nil"/>
                <w:insideH w:val="nil"/>
                <w:insideV w:val="nil"/>
              </w:tblBorders>
            </w:tblPr>
            <w:tr>
              <w:tc>
                <w:tcPr>
                  <w:tcW w:w="1250" w:type="pct"/>
                  <w:gridSpan w:val="4"/>
                  <w:tcMar>
                    <w:top w:w="60" w:type="dxa"/>
                    <w:left w:w="0" w:type="dxa"/>
                    <w:bottom w:w="0" w:type="dxa"/>
                    <w:right w:w="0" w:type="dxa"/>
                  </w:tcMar>
                  <w:vAlign w:val="top"/>
                </w:tcPr>
                <w:p>
                  <w:pPr>
                    <w:pStyle w:val="heading 3"/>
                    <w:keepNext/>
                    <w:keepLines/>
                    <w:spacing w:before="0" w:after="180" w:lineRule="atLeast" w:line="270"/>
                    <w:ind w:left="0" w:right="0" w:hanging="0"/>
                    <w:jc w:val="center"/>
                    <w:rPr>
                      <w:rFonts w:ascii="arial" w:eastAsia="arial" w:hAnsi="arial" w:cs="arial"/>
                      <w:b/>
                      <w:bCs/>
                      <w:i w:val="false"/>
                      <w:caps/>
                      <w:color w:val="000000"/>
                      <w:sz w:val="18"/>
                      <w:szCs w:val="18"/>
                    </w:rPr>
                  </w:pPr>
                  <w:r>
                    <w:rPr>
                      <w:rFonts w:ascii="arial" w:eastAsia="arial" w:hAnsi="arial" w:cs="arial"/>
                      <w:b/>
                      <w:bCs/>
                      <w:i w:val="false"/>
                      <w:caps/>
                      <w:color w:val="000000"/>
                      <w:sz w:val="18"/>
                      <w:szCs w:val="18"/>
                    </w:rPr>
                    <w:t>Similar Industries</w:t>
                  </w:r>
                </w:p>
              </w:tc>
            </w:tr>
            <w:tr>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Men's &amp; Boys' Apparel Manufacturing in the US</w:t>
                  </w:r>
                </w:p>
              </w:tc>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Family Clothing Stores in the US</w:t>
                  </w:r>
                </w:p>
              </w:tc>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Department Stores in the US</w:t>
                  </w:r>
                </w:p>
              </w:tc>
              <w:tc>
                <w:tcPr>
                  <w:tcW w:w="1250" w:type="pct"/>
                  <w:tcMar>
                    <w:top w:w="60" w:type="dxa"/>
                    <w:left w:w="0" w:type="dxa"/>
                    <w:bottom w:w="0" w:type="dxa"/>
                    <w:right w:w="0" w:type="dxa"/>
                  </w:tcMar>
                  <w:vAlign w:val="top"/>
                </w:tcPr>
                <w:p>
                  <w:pPr>
                    <w:keepNext/>
                    <w:keepLines/>
                    <w:spacing w:before="0" w:after="0" w:lineRule="atLeast" w:line="225"/>
                    <w:ind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E-Commerce &amp; Online Auctions in the US</w:t>
                  </w:r>
                </w:p>
              </w:tc>
            </w:tr>
            <w:tr>
              <w:tc>
                <w:tcPr>
                  <w:tcW w:w="1250" w:type="pct"/>
                  <w:tcMar>
                    <w:top w:w="60" w:type="dxa"/>
                    <w:left w:w="0" w:type="dxa"/>
                    <w:bottom w:w="0" w:type="dxa"/>
                    <w:right w:w="0" w:type="dxa"/>
                  </w:tcMar>
                  <w:vAlign w:val="top"/>
                </w:tcPr>
                <w:p>
                  <w:pPr>
                    <w:keepNext/>
                    <w:keepLines/>
                    <w:spacing w:before="0" w:after="0" w:lineRule="atLeast" w:line="225"/>
                    <w:ind w:hanging="0"/>
                    <w:jc w:val="left"/>
                    <w:rPr>
                      <w:rFonts w:ascii="arial" w:eastAsia="arial" w:hAnsi="arial" w:cs="arial"/>
                      <w:b w:val="false"/>
                      <w:bCs w:val="false"/>
                      <w:i w:val="false"/>
                      <w:sz w:val="16"/>
                      <w:szCs w:val="16"/>
                    </w:rPr>
                  </w:pPr>
                  <w:r>
                    <w:drawing>
                      <wp:inline>
                        <wp:extent cx="742950" cy="152400"/>
                        <wp:docPr id="11" name="Picture 11" descr="Complementor"/>
                        <a:graphic xmlns:a="http://schemas.openxmlformats.org/drawingml/2006/main">
                          <a:graphicData uri="http://schemas.openxmlformats.org/drawingml/2006/picture">
                            <pic:pic xmlns:pic="http://schemas.openxmlformats.org/drawingml/2006/picture">
                              <pic:nvPicPr>
                                <pic:cNvPr id="12" name="Picture 12"/>
                                <pic:cNvPicPr/>
                              </pic:nvPicPr>
                              <pic:blipFill>
                                <a:blip r:embed="PictureId6" cstate="print"/>
                                <a:stretch>
                                  <a:fillRect/>
                                </a:stretch>
                              </pic:blipFill>
                              <pic:spPr>
                                <a:xfrm>
                                  <a:off x="0" y="0"/>
                                  <a:ext cx="742950" cy="152400"/>
                                </a:xfrm>
                                <a:prstGeom prst="rect">
                                  <a:avLst/>
                                </a:prstGeom>
                              </pic:spPr>
                            </pic:pic>
                          </a:graphicData>
                        </a:graphic>
                      </wp:inline>
                    </w:drawing>
                  </w:r>
                </w:p>
              </w:tc>
              <w:tc>
                <w:tcPr>
                  <w:tcW w:w="1250" w:type="pct"/>
                  <w:tcMar>
                    <w:top w:w="60" w:type="dxa"/>
                    <w:left w:w="0" w:type="dxa"/>
                    <w:bottom w:w="0" w:type="dxa"/>
                    <w:right w:w="0" w:type="dxa"/>
                  </w:tcMar>
                  <w:vAlign w:val="top"/>
                </w:tcPr>
                <w:p>
                  <w:pPr>
                    <w:keepNext/>
                    <w:keepLines/>
                    <w:spacing w:before="0" w:after="0" w:lineRule="atLeast" w:line="225"/>
                    <w:ind w:hanging="0"/>
                    <w:jc w:val="left"/>
                    <w:rPr>
                      <w:rFonts w:ascii="arial" w:eastAsia="arial" w:hAnsi="arial" w:cs="arial"/>
                      <w:b w:val="false"/>
                      <w:bCs w:val="false"/>
                      <w:i w:val="false"/>
                      <w:sz w:val="16"/>
                      <w:szCs w:val="16"/>
                    </w:rPr>
                  </w:pPr>
                  <w:r>
                    <w:drawing>
                      <wp:inline>
                        <wp:extent cx="742950" cy="152400"/>
                        <wp:docPr id="13" name="Picture 13" descr="Competitor"/>
                        <a:graphic xmlns:a="http://schemas.openxmlformats.org/drawingml/2006/main">
                          <a:graphicData uri="http://schemas.openxmlformats.org/drawingml/2006/picture">
                            <pic:pic xmlns:pic="http://schemas.openxmlformats.org/drawingml/2006/picture">
                              <pic:nvPicPr>
                                <pic:cNvPr id="14" name="Picture 14"/>
                                <pic:cNvPicPr/>
                              </pic:nvPicPr>
                              <pic:blipFill>
                                <a:blip r:embed="PictureId7" cstate="print"/>
                                <a:stretch>
                                  <a:fillRect/>
                                </a:stretch>
                              </pic:blipFill>
                              <pic:spPr>
                                <a:xfrm>
                                  <a:off x="0" y="0"/>
                                  <a:ext cx="742950" cy="152400"/>
                                </a:xfrm>
                                <a:prstGeom prst="rect">
                                  <a:avLst/>
                                </a:prstGeom>
                              </pic:spPr>
                            </pic:pic>
                          </a:graphicData>
                        </a:graphic>
                      </wp:inline>
                    </w:drawing>
                  </w:r>
                </w:p>
              </w:tc>
              <w:tc>
                <w:tcPr>
                  <w:tcW w:w="1250" w:type="pct"/>
                  <w:tcMar>
                    <w:top w:w="60" w:type="dxa"/>
                    <w:left w:w="0" w:type="dxa"/>
                    <w:bottom w:w="0" w:type="dxa"/>
                    <w:right w:w="0" w:type="dxa"/>
                  </w:tcMar>
                  <w:vAlign w:val="top"/>
                </w:tcPr>
                <w:p>
                  <w:pPr>
                    <w:keepNext/>
                    <w:keepLines/>
                    <w:spacing w:before="0" w:after="0" w:lineRule="atLeast" w:line="225"/>
                    <w:ind w:hanging="0"/>
                    <w:jc w:val="left"/>
                    <w:rPr>
                      <w:rFonts w:ascii="arial" w:eastAsia="arial" w:hAnsi="arial" w:cs="arial"/>
                      <w:b w:val="false"/>
                      <w:bCs w:val="false"/>
                      <w:i w:val="false"/>
                      <w:sz w:val="16"/>
                      <w:szCs w:val="16"/>
                    </w:rPr>
                  </w:pPr>
                  <w:r>
                    <w:drawing>
                      <wp:inline>
                        <wp:extent cx="742950" cy="152400"/>
                        <wp:docPr id="15" name="Picture 15" descr="Competitor"/>
                        <a:graphic xmlns:a="http://schemas.openxmlformats.org/drawingml/2006/main">
                          <a:graphicData uri="http://schemas.openxmlformats.org/drawingml/2006/picture">
                            <pic:pic xmlns:pic="http://schemas.openxmlformats.org/drawingml/2006/picture">
                              <pic:nvPicPr>
                                <pic:cNvPr id="16" name="Picture 16"/>
                                <pic:cNvPicPr/>
                              </pic:nvPicPr>
                              <pic:blipFill>
                                <a:blip r:embed="PictureId7" cstate="print"/>
                                <a:stretch>
                                  <a:fillRect/>
                                </a:stretch>
                              </pic:blipFill>
                              <pic:spPr>
                                <a:xfrm>
                                  <a:off x="0" y="0"/>
                                  <a:ext cx="742950" cy="152400"/>
                                </a:xfrm>
                                <a:prstGeom prst="rect">
                                  <a:avLst/>
                                </a:prstGeom>
                              </pic:spPr>
                            </pic:pic>
                          </a:graphicData>
                        </a:graphic>
                      </wp:inline>
                    </w:drawing>
                  </w:r>
                </w:p>
              </w:tc>
              <w:tc>
                <w:tcPr>
                  <w:tcW w:w="1250" w:type="pct"/>
                  <w:tcMar>
                    <w:top w:w="60" w:type="dxa"/>
                    <w:left w:w="0" w:type="dxa"/>
                    <w:bottom w:w="0" w:type="dxa"/>
                    <w:right w:w="0" w:type="dxa"/>
                  </w:tcMar>
                  <w:vAlign w:val="top"/>
                </w:tcPr>
                <w:p>
                  <w:pPr>
                    <w:keepNext/>
                    <w:keepLines/>
                    <w:spacing w:before="0" w:after="0" w:lineRule="atLeast" w:line="225"/>
                    <w:ind w:hanging="0"/>
                    <w:jc w:val="left"/>
                    <w:rPr>
                      <w:rFonts w:ascii="arial" w:eastAsia="arial" w:hAnsi="arial" w:cs="arial"/>
                      <w:b w:val="false"/>
                      <w:bCs w:val="false"/>
                      <w:i w:val="false"/>
                      <w:sz w:val="16"/>
                      <w:szCs w:val="16"/>
                    </w:rPr>
                  </w:pPr>
                  <w:r>
                    <w:drawing>
                      <wp:inline>
                        <wp:extent cx="742950" cy="152400"/>
                        <wp:docPr id="17" name="Picture 17" descr="Competitor"/>
                        <a:graphic xmlns:a="http://schemas.openxmlformats.org/drawingml/2006/main">
                          <a:graphicData uri="http://schemas.openxmlformats.org/drawingml/2006/picture">
                            <pic:pic xmlns:pic="http://schemas.openxmlformats.org/drawingml/2006/picture">
                              <pic:nvPicPr>
                                <pic:cNvPr id="18" name="Picture 18"/>
                                <pic:cNvPicPr/>
                              </pic:nvPicPr>
                              <pic:blipFill>
                                <a:blip r:embed="PictureId7" cstate="print"/>
                                <a:stretch>
                                  <a:fillRect/>
                                </a:stretch>
                              </pic:blipFill>
                              <pic:spPr>
                                <a:xfrm>
                                  <a:off x="0" y="0"/>
                                  <a:ext cx="742950" cy="152400"/>
                                </a:xfrm>
                                <a:prstGeom prst="rect">
                                  <a:avLst/>
                                </a:prstGeom>
                              </pic:spPr>
                            </pic:pic>
                          </a:graphicData>
                        </a:graphic>
                      </wp:inline>
                    </w:drawing>
                  </w:r>
                </w:p>
              </w:tc>
            </w:tr>
            <w:tr>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1250" w:type="pct"/>
                  <w:tcMar>
                    <w:top w:w="60" w:type="dxa"/>
                    <w:left w:w="0" w:type="dxa"/>
                    <w:bottom w:w="0" w:type="dxa"/>
                    <w:right w:w="0" w:type="dxa"/>
                  </w:tcMar>
                  <w:vAlign w:val="top"/>
                </w:tcPr>
                <w:p>
                  <w:pPr>
                    <w:keepNext/>
                    <w:keepLines/>
                    <w:spacing w:before="0" w:after="0" w:lineRule="atLeast" w:line="225"/>
                    <w:ind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r>
            <w:tr>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1250" w:type="pct"/>
                  <w:tcMar>
                    <w:top w:w="60" w:type="dxa"/>
                    <w:left w:w="0" w:type="dxa"/>
                    <w:bottom w:w="0" w:type="dxa"/>
                    <w:right w:w="0" w:type="dxa"/>
                  </w:tcMar>
                  <w:vAlign w:val="top"/>
                </w:tcPr>
                <w:p>
                  <w:pPr>
                    <w:keepNext/>
                    <w:keepLines/>
                    <w:spacing w:before="0" w:after="0" w:lineRule="atLeast" w:line="225"/>
                    <w:ind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r>
          </w:tbl>
          <w:p>
            <w:pPr/>
          </w:p>
        </w:tc>
      </w:tr>
      <w:tr>
        <w:tc>
          <w:tcPr>
            <w:vAlign w:val="top"/>
          </w:tcPr>
          <w:p>
            <w:pPr>
              <w:keepNext/>
              <w:keepLines/>
              <w:spacing w:before="0" w:after="0" w:lineRule="atLeast" w:line="225"/>
              <w:ind w:hanging="0"/>
              <w:jc w:val="left"/>
              <w:rPr>
                <w:rFonts w:ascii="arial" w:eastAsia="arial" w:hAnsi="arial" w:cs="arial"/>
                <w:b w:val="false"/>
                <w:bCs w:val="false"/>
                <w:i w:val="false"/>
                <w:sz w:val="16"/>
                <w:szCs w:val="16"/>
              </w:rPr>
            </w:pPr>
          </w:p>
          <w:tbl>
            <w:tblPr>
              <w:tblW w:w="5000" w:type="pct"/>
              <w:jc w:val="left"/>
              <w:tblBorders>
                <w:top w:val="nil"/>
                <w:left w:val="nil"/>
                <w:bottom w:val="nil"/>
                <w:right w:val="nil"/>
                <w:insideH w:val="nil"/>
                <w:insideV w:val="nil"/>
              </w:tblBorders>
            </w:tblPr>
            <w:tr>
              <w:tc>
                <w:tcPr>
                  <w:tcW w:w="1250" w:type="pct"/>
                  <w:gridSpan w:val="4"/>
                  <w:tcMar>
                    <w:top w:w="60" w:type="dxa"/>
                    <w:left w:w="0" w:type="dxa"/>
                    <w:bottom w:w="0" w:type="dxa"/>
                    <w:right w:w="0" w:type="dxa"/>
                  </w:tcMar>
                  <w:vAlign w:val="top"/>
                </w:tcPr>
                <w:p>
                  <w:pPr>
                    <w:pStyle w:val="heading 3"/>
                    <w:keepNext/>
                    <w:keepLines/>
                    <w:spacing w:before="0" w:after="180" w:lineRule="atLeast" w:line="270"/>
                    <w:ind w:left="0" w:right="0" w:hanging="0"/>
                    <w:jc w:val="center"/>
                    <w:rPr>
                      <w:rFonts w:ascii="arial" w:eastAsia="arial" w:hAnsi="arial" w:cs="arial"/>
                      <w:b/>
                      <w:bCs/>
                      <w:i w:val="false"/>
                      <w:caps/>
                      <w:color w:val="000000"/>
                      <w:sz w:val="18"/>
                      <w:szCs w:val="18"/>
                    </w:rPr>
                  </w:pPr>
                  <w:r>
                    <w:rPr>
                      <w:rFonts w:ascii="arial" w:eastAsia="arial" w:hAnsi="arial" w:cs="arial"/>
                      <w:b/>
                      <w:bCs/>
                      <w:i w:val="false"/>
                      <w:caps/>
                      <w:color w:val="000000"/>
                      <w:sz w:val="18"/>
                      <w:szCs w:val="18"/>
                    </w:rPr>
                    <w:t>Related International Industries</w:t>
                  </w:r>
                </w:p>
              </w:tc>
            </w:tr>
            <w:tr>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Clothing Retailing in Australia</w:t>
                  </w:r>
                </w:p>
              </w:tc>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Clothing Stores in China</w:t>
                  </w:r>
                </w:p>
              </w:tc>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Clothing Retailing in the UK</w:t>
                  </w:r>
                </w:p>
              </w:tc>
              <w:tc>
                <w:tcPr>
                  <w:tcW w:w="1250" w:type="pct"/>
                  <w:tcMar>
                    <w:top w:w="60" w:type="dxa"/>
                    <w:left w:w="0" w:type="dxa"/>
                    <w:bottom w:w="0" w:type="dxa"/>
                    <w:right w:w="0" w:type="dxa"/>
                  </w:tcMar>
                  <w:vAlign w:val="top"/>
                </w:tcPr>
                <w:p>
                  <w:pPr>
                    <w:keepNext/>
                    <w:keepLines/>
                    <w:spacing w:before="0" w:after="0" w:lineRule="atLeast" w:line="225"/>
                    <w:ind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Men's Clothing Stores in Canada</w:t>
                  </w:r>
                </w:p>
              </w:tc>
            </w:tr>
            <w:tr>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Clothing Retailing in New Zealand</w:t>
                  </w:r>
                </w:p>
              </w:tc>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Clothing Retailing in Ireland</w:t>
                  </w:r>
                </w:p>
              </w:tc>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1250" w:type="pct"/>
                  <w:tcMar>
                    <w:top w:w="60" w:type="dxa"/>
                    <w:left w:w="0" w:type="dxa"/>
                    <w:bottom w:w="0" w:type="dxa"/>
                    <w:right w:w="0" w:type="dxa"/>
                  </w:tcMar>
                  <w:vAlign w:val="top"/>
                </w:tcPr>
                <w:p>
                  <w:pPr>
                    <w:keepNext/>
                    <w:keepLines/>
                    <w:spacing w:before="0" w:after="0" w:lineRule="atLeast" w:line="225"/>
                    <w:ind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r>
            <w:tr>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1250" w:type="pct"/>
                  <w:tcMar>
                    <w:top w:w="60" w:type="dxa"/>
                    <w:left w:w="0" w:type="dxa"/>
                    <w:bottom w:w="0" w:type="dxa"/>
                    <w:right w:w="0" w:type="dxa"/>
                  </w:tcMar>
                  <w:vAlign w:val="top"/>
                </w:tcPr>
                <w:p>
                  <w:pPr>
                    <w:keepNext/>
                    <w:keepLines/>
                    <w:spacing w:before="0" w:after="0" w:lineRule="atLeast" w:line="225"/>
                    <w:ind w:right="15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1250" w:type="pct"/>
                  <w:tcMar>
                    <w:top w:w="60" w:type="dxa"/>
                    <w:left w:w="0" w:type="dxa"/>
                    <w:bottom w:w="0" w:type="dxa"/>
                    <w:right w:w="0" w:type="dxa"/>
                  </w:tcMar>
                  <w:vAlign w:val="top"/>
                </w:tcPr>
                <w:p>
                  <w:pPr>
                    <w:keepNext/>
                    <w:keepLines/>
                    <w:spacing w:before="0" w:after="0" w:lineRule="atLeast" w:line="225"/>
                    <w:ind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r>
          </w:tbl>
          <w:p>
            <w:pPr/>
          </w:p>
        </w:tc>
      </w:tr>
    </w:tbl>
    <w:p>
      <w:pPr>
        <w:sectPr>
          <w:headerReference w:type="default" r:id="gemHfRid16"/>
          <w:footerReference w:type="default" r:id="gemHfRid17"/>
          <w:pgSz w:w="11907" w:h="16839" w:code="9"/>
          <w:pgMar w:top="640" w:right="640" w:bottom="640" w:left="640" w:header="0" w:footer="0" w:gutter="0"/>
          <w:cols w:space="708"/>
          <w:docGrid w:linePitch="360"/>
        </w:sectPr>
      </w:pPr>
    </w:p>
    <w:p>
      <w:pPr>
        <w:pStyle w:val="heading 1"/>
        <w:spacing w:before="0" w:after="240" w:lineRule="atLeast" w:line="420"/>
        <w:ind w:left="0" w:right="0" w:hanging="0"/>
        <w:jc w:val="left"/>
        <w:rPr>
          <w:rFonts w:ascii="arial" w:eastAsia="arial" w:hAnsi="arial" w:cs="arial"/>
          <w:b w:val="false"/>
          <w:bCs w:val="false"/>
          <w:i w:val="false"/>
          <w:color w:val="333333"/>
          <w:sz w:val="36"/>
          <w:szCs w:val="36"/>
        </w:rPr>
      </w:pPr>
      <w:bookmarkStart w:id="6" w:name="_Toc7"/>
      <w:r>
        <w:rPr>
          <w:rFonts w:ascii="arial" w:eastAsia="arial" w:hAnsi="arial" w:cs="arial"/>
          <w:b w:val="false"/>
          <w:bCs w:val="false"/>
          <w:i w:val="false"/>
          <w:color w:val="333333"/>
          <w:sz w:val="36"/>
          <w:szCs w:val="36"/>
        </w:rPr>
        <w:t>Industry at a Glance</w:t>
      </w:r>
      <w:bookmarkEnd w:id="6"/>
    </w:p>
    <w:tbl>
      <w:tblPr>
        <w:tblW w:w="5000" w:type="pct"/>
        <w:jc w:val="left"/>
        <w:tblBorders>
          <w:top w:val="nil"/>
          <w:left w:val="nil"/>
          <w:bottom w:val="nil"/>
          <w:right w:val="nil"/>
          <w:insideH w:val="nil"/>
          <w:insideV w:val="nil"/>
        </w:tblBorders>
      </w:tblPr>
      <w:tr>
        <w:trPr>
          <w:cantSplit/>
        </w:trPr>
        <w:tc>
          <w:tcPr>
            <w:vAlign w:val="top"/>
          </w:tcPr>
          <w:tbl>
            <w:tblPr>
              <w:tblW w:w="5000" w:type="pct"/>
              <w:jc w:val="left"/>
              <w:tblBorders>
                <w:top w:val="nil"/>
                <w:left w:val="nil"/>
                <w:bottom w:val="nil"/>
                <w:right w:val="nil"/>
                <w:insideH w:val="nil"/>
                <w:insideV w:val="nil"/>
              </w:tblBorders>
            </w:tblPr>
            <w:tr>
              <w:tc>
                <w:tcPr>
                  <w:tcW w:w="2500" w:type="pct"/>
                  <w:vAlign w:val="top"/>
                </w:tcPr>
                <w:p>
                  <w:pPr>
                    <w:spacing w:before="0" w:after="0" w:lineRule="atLeast" w:line="270"/>
                    <w:ind w:left="60" w:right="0" w:hanging="0"/>
                    <w:jc w:val="left"/>
                    <w:rPr>
                      <w:rFonts w:ascii="arial" w:eastAsia="arial" w:hAnsi="arial" w:cs="arial"/>
                      <w:b/>
                      <w:bCs/>
                      <w:i w:val="false"/>
                      <w:color w:val="333333"/>
                      <w:spacing w:val="4"/>
                      <w:sz w:val="21"/>
                      <w:szCs w:val="21"/>
                    </w:rPr>
                  </w:pPr>
                  <w:r>
                    <w:rPr>
                      <w:rFonts w:ascii="arial" w:eastAsia="arial" w:hAnsi="arial" w:cs="arial"/>
                      <w:b/>
                      <w:bCs/>
                      <w:i w:val="false"/>
                      <w:color w:val="333333"/>
                      <w:spacing w:val="4"/>
                      <w:sz w:val="21"/>
                      <w:szCs w:val="21"/>
                    </w:rPr>
                    <w:t>Key Statistics</w:t>
                  </w:r>
                </w:p>
                <w:p>
                  <w:pPr>
                    <w:spacing w:before="0" w:after="0" w:lineRule="atLeast" w:line="225"/>
                    <w:ind w:hanging="0"/>
                    <w:jc w:val="left"/>
                    <w:rPr>
                      <w:rFonts w:ascii="arial" w:eastAsia="arial" w:hAnsi="arial" w:cs="arial"/>
                      <w:b w:val="false"/>
                      <w:bCs w:val="false"/>
                      <w:i w:val="false"/>
                      <w:sz w:val="16"/>
                      <w:szCs w:val="16"/>
                    </w:rPr>
                  </w:pPr>
                </w:p>
                <w:tbl>
                  <w:tblPr>
                    <w:jc w:val="left"/>
                    <w:tblCellSpacing w:w="30" w:type="dxa"/>
                    <w:tblBorders>
                      <w:top w:val="nil"/>
                      <w:left w:val="nil"/>
                      <w:bottom w:val="nil"/>
                      <w:right w:val="nil"/>
                      <w:insideH w:val="nil"/>
                      <w:insideV w:val="nil"/>
                    </w:tblBorders>
                  </w:tblP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drawing>
                            <wp:inline>
                              <wp:extent cx="361950" cy="352425"/>
                              <wp:docPr id="19" name="Picture 19" descr="Revenue"/>
                              <a:graphic xmlns:a="http://schemas.openxmlformats.org/drawingml/2006/main">
                                <a:graphicData uri="http://schemas.openxmlformats.org/drawingml/2006/picture">
                                  <pic:pic xmlns:pic="http://schemas.openxmlformats.org/drawingml/2006/picture">
                                    <pic:nvPicPr>
                                      <pic:cNvPr id="20" name="Picture 20"/>
                                      <pic:cNvPicPr/>
                                    </pic:nvPicPr>
                                    <pic:blipFill>
                                      <a:blip r:embed="PictureId8" cstate="print"/>
                                      <a:stretch>
                                        <a:fillRect/>
                                      </a:stretch>
                                    </pic:blipFill>
                                    <pic:spPr>
                                      <a:xfrm>
                                        <a:off x="0" y="0"/>
                                        <a:ext cx="361950" cy="352425"/>
                                      </a:xfrm>
                                      <a:prstGeom prst="rect">
                                        <a:avLst/>
                                      </a:prstGeom>
                                    </pic:spPr>
                                  </pic:pic>
                                </a:graphicData>
                              </a:graphic>
                            </wp:inline>
                          </w:drawing>
                        </w:r>
                      </w:p>
                    </w:tc>
                    <w:tc>
                      <w:tcPr>
                        <w:vAlign w:val="center"/>
                      </w:tcPr>
                      <w:p>
                        <w:pPr>
                          <w:spacing w:before="0" w:after="0" w:lineRule="atLeast" w:line="420"/>
                          <w:ind w:hanging="0"/>
                          <w:jc w:val="left"/>
                          <w:rPr>
                            <w:rFonts w:ascii="arial" w:eastAsia="arial" w:hAnsi="arial" w:cs="arial"/>
                            <w:b/>
                            <w:bCs/>
                            <w:i w:val="false"/>
                            <w:color w:val="0052A4"/>
                            <w:sz w:val="27"/>
                            <w:szCs w:val="27"/>
                          </w:rPr>
                        </w:pPr>
                        <w:r>
                          <w:rPr>
                            <w:rFonts w:ascii="arial" w:eastAsia="arial" w:hAnsi="arial" w:cs="arial"/>
                            <w:b/>
                            <w:bCs/>
                            <w:i w:val="false"/>
                            <w:color w:val="0052A4"/>
                            <w:sz w:val="27"/>
                            <w:szCs w:val="27"/>
                          </w:rPr>
                          <w:t xml:space="preserve">$7.0bn </w:t>
                        </w:r>
                      </w:p>
                      <w:p>
                        <w:pPr>
                          <w:spacing w:before="0" w:after="0" w:lineRule="auto" w:line="360"/>
                          <w:ind w:hanging="0"/>
                          <w:jc w:val="left"/>
                          <w:rPr>
                            <w:rFonts w:ascii="arial" w:eastAsia="arial" w:hAnsi="arial" w:cs="arial"/>
                            <w:b w:val="false"/>
                            <w:bCs w:val="false"/>
                            <w:i w:val="false"/>
                            <w:color w:val="0052A4"/>
                            <w:sz w:val="15"/>
                            <w:szCs w:val="15"/>
                          </w:rPr>
                        </w:pPr>
                        <w:r>
                          <w:rPr>
                            <w:rFonts w:ascii="arial" w:eastAsia="arial" w:hAnsi="arial" w:cs="arial"/>
                            <w:b w:val="false"/>
                            <w:bCs w:val="false"/>
                            <w:i w:val="false"/>
                            <w:color w:val="0052A4"/>
                            <w:sz w:val="15"/>
                            <w:szCs w:val="15"/>
                          </w:rPr>
                          <w:t>Revenue</w:t>
                        </w:r>
                      </w:p>
                    </w:tc>
                    <w:tc>
                      <w:tcPr>
                        <w:tcW w:w="2500" w:type="pct"/>
                        <w:vAlign w:val="center"/>
                      </w:tcPr>
                      <w:p>
                        <w:pPr/>
                      </w:p>
                    </w:tc>
                  </w:tr>
                </w:tbl>
                <w:p>
                  <w:pPr>
                    <w:spacing w:before="0" w:after="0"/>
                    <w:rPr>
                      <w:vanish/>
                    </w:rPr>
                  </w:pPr>
                </w:p>
                <w:tbl>
                  <w:tblPr>
                    <w:tblW w:w="5000" w:type="pct"/>
                    <w:jc w:val="left"/>
                    <w:tblCellSpacing w:w="30" w:type="dxa"/>
                    <w:tblBorders>
                      <w:top w:val="nil"/>
                      <w:left w:val="nil"/>
                      <w:bottom w:val="nil"/>
                      <w:right w:val="nil"/>
                      <w:insideH w:val="nil"/>
                      <w:insideV w:val="nil"/>
                    </w:tblBorders>
                  </w:tblPr>
                  <w:tr>
                    <w:tc>
                      <w:tcPr>
                        <w:tcW w:w="1250" w:type="pct"/>
                        <w:vAlign w:val="top"/>
                      </w:tcPr>
                      <w:p>
                        <w:pPr>
                          <w:spacing w:before="0" w:after="0" w:lineRule="auto" w:line="432"/>
                          <w:ind w:hanging="0"/>
                          <w:jc w:val="left"/>
                          <w:rPr>
                            <w:rFonts w:ascii="arial" w:eastAsia="arial" w:hAnsi="arial" w:cs="arial"/>
                            <w:b/>
                            <w:bCs/>
                            <w:i w:val="false"/>
                            <w:sz w:val="15"/>
                            <w:szCs w:val="15"/>
                          </w:rPr>
                        </w:pPr>
                        <w:r>
                          <w:rPr>
                            <w:rFonts w:ascii="arial" w:eastAsia="arial" w:hAnsi="arial" w:cs="arial"/>
                            <w:b/>
                            <w:bCs/>
                            <w:i w:val="false"/>
                            <w:sz w:val="15"/>
                            <w:szCs w:val="15"/>
                          </w:rPr>
                          <w:t xml:space="preserve">Annual Growth </w:t>
                        </w:r>
                        <w:r>
                          <w:br/>
                        </w:r>
                        <w:r>
                          <w:rPr>
                            <w:rFonts w:ascii="arial" w:eastAsia="arial" w:hAnsi="arial" w:cs="arial"/>
                            <w:b/>
                            <w:bCs/>
                            <w:i w:val="false"/>
                            <w:sz w:val="15"/>
                            <w:szCs w:val="15"/>
                          </w:rPr>
                          <w:t>2015–2020</w:t>
                        </w:r>
                      </w:p>
                      <w:p>
                        <w:pPr>
                          <w:spacing w:before="0" w:after="0" w:lineRule="auto" w:line="336"/>
                          <w:ind w:hanging="0"/>
                          <w:jc w:val="left"/>
                          <w:rPr>
                            <w:rFonts w:ascii="arial" w:eastAsia="arial" w:hAnsi="arial" w:cs="arial"/>
                            <w:b w:val="false"/>
                            <w:bCs w:val="false"/>
                            <w:i w:val="false"/>
                            <w:sz w:val="20"/>
                            <w:szCs w:val="20"/>
                          </w:rPr>
                        </w:pPr>
                        <w:r>
                          <w:rPr>
                            <w:rFonts w:ascii="arial" w:eastAsia="arial" w:hAnsi="arial" w:cs="arial"/>
                            <w:b w:val="false"/>
                            <w:bCs w:val="false"/>
                            <w:i w:val="false"/>
                            <w:sz w:val="20"/>
                            <w:szCs w:val="20"/>
                          </w:rPr>
                          <w:t>-5.9%</w:t>
                        </w:r>
                      </w:p>
                    </w:tc>
                    <w:tc>
                      <w:tcPr>
                        <w:tcW w:w="1250" w:type="pct"/>
                        <w:vAlign w:val="top"/>
                      </w:tcPr>
                      <w:p>
                        <w:pPr>
                          <w:spacing w:before="0" w:after="0" w:lineRule="auto" w:line="432"/>
                          <w:ind w:hanging="0"/>
                          <w:jc w:val="left"/>
                          <w:rPr>
                            <w:rFonts w:ascii="arial" w:eastAsia="arial" w:hAnsi="arial" w:cs="arial"/>
                            <w:b/>
                            <w:bCs/>
                            <w:i w:val="false"/>
                            <w:sz w:val="15"/>
                            <w:szCs w:val="15"/>
                          </w:rPr>
                        </w:pPr>
                        <w:r>
                          <w:rPr>
                            <w:rFonts w:ascii="arial" w:eastAsia="arial" w:hAnsi="arial" w:cs="arial"/>
                            <w:b/>
                            <w:bCs/>
                            <w:i w:val="false"/>
                            <w:sz w:val="15"/>
                            <w:szCs w:val="15"/>
                          </w:rPr>
                          <w:t xml:space="preserve">Annual Growth </w:t>
                        </w:r>
                        <w:r>
                          <w:br/>
                        </w:r>
                        <w:r>
                          <w:rPr>
                            <w:rFonts w:ascii="arial" w:eastAsia="arial" w:hAnsi="arial" w:cs="arial"/>
                            <w:b/>
                            <w:bCs/>
                            <w:i w:val="false"/>
                            <w:sz w:val="15"/>
                            <w:szCs w:val="15"/>
                          </w:rPr>
                          <w:t>2020–2025</w:t>
                        </w:r>
                      </w:p>
                      <w:p>
                        <w:pPr>
                          <w:spacing w:before="0" w:after="0" w:lineRule="auto" w:line="336"/>
                          <w:ind w:hanging="0"/>
                          <w:jc w:val="left"/>
                          <w:rPr>
                            <w:rFonts w:ascii="arial" w:eastAsia="arial" w:hAnsi="arial" w:cs="arial"/>
                            <w:b w:val="false"/>
                            <w:bCs w:val="false"/>
                            <w:i w:val="false"/>
                            <w:sz w:val="20"/>
                            <w:szCs w:val="20"/>
                          </w:rPr>
                        </w:pPr>
                        <w:r>
                          <w:rPr>
                            <w:rFonts w:ascii="arial" w:eastAsia="arial" w:hAnsi="arial" w:cs="arial"/>
                            <w:b w:val="false"/>
                            <w:bCs w:val="false"/>
                            <w:i w:val="false"/>
                            <w:sz w:val="20"/>
                            <w:szCs w:val="20"/>
                          </w:rPr>
                          <w:t>1.1%</w:t>
                        </w:r>
                      </w:p>
                    </w:tc>
                    <w:tc>
                      <w:tcPr>
                        <w:tcW w:w="2500" w:type="pct"/>
                        <w:vAlign w:val="top"/>
                      </w:tcPr>
                      <w:p>
                        <w:pPr>
                          <w:spacing w:before="0" w:after="0" w:lineRule="auto" w:line="432"/>
                          <w:ind w:hanging="0"/>
                          <w:jc w:val="left"/>
                          <w:rPr>
                            <w:rFonts w:ascii="arial" w:eastAsia="arial" w:hAnsi="arial" w:cs="arial"/>
                            <w:b/>
                            <w:bCs/>
                            <w:i w:val="false"/>
                            <w:sz w:val="15"/>
                            <w:szCs w:val="15"/>
                          </w:rPr>
                        </w:pPr>
                        <w:r>
                          <w:rPr>
                            <w:rFonts w:ascii="arial" w:eastAsia="arial" w:hAnsi="arial" w:cs="arial"/>
                            <w:b/>
                            <w:bCs/>
                            <w:i w:val="false"/>
                            <w:sz w:val="15"/>
                            <w:szCs w:val="15"/>
                          </w:rPr>
                          <w:t xml:space="preserve">Annual Growth </w:t>
                        </w:r>
                        <w:r>
                          <w:br/>
                        </w:r>
                        <w:r>
                          <w:rPr>
                            <w:rFonts w:ascii="arial" w:eastAsia="arial" w:hAnsi="arial" w:cs="arial"/>
                            <w:b/>
                            <w:bCs/>
                            <w:i w:val="false"/>
                            <w:sz w:val="15"/>
                            <w:szCs w:val="15"/>
                          </w:rPr>
                          <w:t>2015–2025</w:t>
                        </w:r>
                      </w:p>
                      <w:p>
                        <w:pPr>
                          <w:spacing w:before="0" w:after="0" w:lineRule="atLeast" w:line="225"/>
                          <w:ind w:hanging="0"/>
                          <w:jc w:val="left"/>
                          <w:rPr>
                            <w:rFonts w:ascii="arial" w:eastAsia="arial" w:hAnsi="arial" w:cs="arial"/>
                            <w:b w:val="false"/>
                            <w:bCs w:val="false"/>
                            <w:i w:val="false"/>
                            <w:sz w:val="16"/>
                            <w:szCs w:val="16"/>
                          </w:rPr>
                        </w:pPr>
                        <w:r>
                          <w:drawing>
                            <wp:inline>
                              <wp:extent cx="1428750" cy="259773"/>
                              <wp:docPr id="21" name="Picture 21"/>
                              <a:graphic xmlns:a="http://schemas.openxmlformats.org/drawingml/2006/main">
                                <a:graphicData uri="http://schemas.openxmlformats.org/drawingml/2006/picture">
                                  <pic:pic xmlns:pic="http://schemas.openxmlformats.org/drawingml/2006/picture">
                                    <pic:nvPicPr>
                                      <pic:cNvPr id="22" name="Picture 22"/>
                                      <pic:cNvPicPr/>
                                    </pic:nvPicPr>
                                    <pic:blipFill>
                                      <a:blip r:embed="PictureId9" cstate="print"/>
                                      <a:stretch>
                                        <a:fillRect/>
                                      </a:stretch>
                                    </pic:blipFill>
                                    <pic:spPr>
                                      <a:xfrm>
                                        <a:off x="0" y="0"/>
                                        <a:ext cx="1428750" cy="259773"/>
                                      </a:xfrm>
                                      <a:prstGeom prst="rect">
                                        <a:avLst/>
                                      </a:prstGeom>
                                    </pic:spPr>
                                  </pic:pic>
                                </a:graphicData>
                              </a:graphic>
                            </wp:inline>
                          </w:drawing>
                        </w:r>
                      </w:p>
                    </w:tc>
                  </w:tr>
                </w:tbl>
                <w:p>
                  <w:pPr>
                    <w:pBdr>
                      <w:top w:val="single" w:sz="9" w:color="D8DDEA"/>
                    </w:pBd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bl>
                  <w:tblPr>
                    <w:jc w:val="left"/>
                    <w:tblCellSpacing w:w="30" w:type="dxa"/>
                    <w:tblBorders>
                      <w:top w:val="nil"/>
                      <w:left w:val="nil"/>
                      <w:bottom w:val="nil"/>
                      <w:right w:val="nil"/>
                      <w:insideH w:val="nil"/>
                      <w:insideV w:val="nil"/>
                    </w:tblBorders>
                  </w:tblP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drawing>
                            <wp:inline>
                              <wp:extent cx="361950" cy="352425"/>
                              <wp:docPr id="23" name="Picture 23" descr="Profit"/>
                              <a:graphic xmlns:a="http://schemas.openxmlformats.org/drawingml/2006/main">
                                <a:graphicData uri="http://schemas.openxmlformats.org/drawingml/2006/picture">
                                  <pic:pic xmlns:pic="http://schemas.openxmlformats.org/drawingml/2006/picture">
                                    <pic:nvPicPr>
                                      <pic:cNvPr id="24" name="Picture 24"/>
                                      <pic:cNvPicPr/>
                                    </pic:nvPicPr>
                                    <pic:blipFill>
                                      <a:blip r:embed="PictureId10" cstate="print"/>
                                      <a:stretch>
                                        <a:fillRect/>
                                      </a:stretch>
                                    </pic:blipFill>
                                    <pic:spPr>
                                      <a:xfrm>
                                        <a:off x="0" y="0"/>
                                        <a:ext cx="361950" cy="352425"/>
                                      </a:xfrm>
                                      <a:prstGeom prst="rect">
                                        <a:avLst/>
                                      </a:prstGeom>
                                    </pic:spPr>
                                  </pic:pic>
                                </a:graphicData>
                              </a:graphic>
                            </wp:inline>
                          </w:drawing>
                        </w:r>
                      </w:p>
                    </w:tc>
                    <w:tc>
                      <w:tcPr>
                        <w:vAlign w:val="center"/>
                      </w:tcPr>
                      <w:p>
                        <w:pPr>
                          <w:spacing w:before="0" w:after="0" w:lineRule="atLeast" w:line="420"/>
                          <w:ind w:hanging="0"/>
                          <w:jc w:val="left"/>
                          <w:rPr>
                            <w:rFonts w:ascii="arial" w:eastAsia="arial" w:hAnsi="arial" w:cs="arial"/>
                            <w:b/>
                            <w:bCs/>
                            <w:i w:val="false"/>
                            <w:color w:val="B8860B"/>
                            <w:sz w:val="27"/>
                            <w:szCs w:val="27"/>
                          </w:rPr>
                        </w:pPr>
                        <w:r>
                          <w:rPr>
                            <w:rFonts w:ascii="arial" w:eastAsia="arial" w:hAnsi="arial" w:cs="arial"/>
                            <w:b/>
                            <w:bCs/>
                            <w:i w:val="false"/>
                            <w:color w:val="B8860B"/>
                            <w:sz w:val="27"/>
                            <w:szCs w:val="27"/>
                          </w:rPr>
                          <w:t xml:space="preserve">$63.3m </w:t>
                        </w:r>
                      </w:p>
                      <w:p>
                        <w:pPr>
                          <w:spacing w:before="0" w:after="0" w:lineRule="auto" w:line="360"/>
                          <w:ind w:hanging="0"/>
                          <w:jc w:val="left"/>
                          <w:rPr>
                            <w:rFonts w:ascii="arial" w:eastAsia="arial" w:hAnsi="arial" w:cs="arial"/>
                            <w:b w:val="false"/>
                            <w:bCs w:val="false"/>
                            <w:i w:val="false"/>
                            <w:color w:val="B8860B"/>
                            <w:sz w:val="15"/>
                            <w:szCs w:val="15"/>
                          </w:rPr>
                        </w:pPr>
                        <w:r>
                          <w:rPr>
                            <w:rFonts w:ascii="arial" w:eastAsia="arial" w:hAnsi="arial" w:cs="arial"/>
                            <w:b w:val="false"/>
                            <w:bCs w:val="false"/>
                            <w:i w:val="false"/>
                            <w:color w:val="B8860B"/>
                            <w:sz w:val="15"/>
                            <w:szCs w:val="15"/>
                          </w:rPr>
                          <w:t>Profit</w:t>
                        </w:r>
                      </w:p>
                    </w:tc>
                    <w:tc>
                      <w:tcPr>
                        <w:tcW w:w="2500" w:type="pct"/>
                        <w:vAlign w:val="center"/>
                      </w:tcPr>
                      <w:p>
                        <w:pPr/>
                      </w:p>
                    </w:tc>
                  </w:tr>
                </w:tbl>
                <w:p>
                  <w:pPr>
                    <w:spacing w:before="0" w:after="0"/>
                    <w:rPr>
                      <w:vanish/>
                    </w:rPr>
                  </w:pPr>
                </w:p>
                <w:tbl>
                  <w:tblPr>
                    <w:tblW w:w="5000" w:type="pct"/>
                    <w:jc w:val="left"/>
                    <w:tblCellSpacing w:w="30" w:type="dxa"/>
                    <w:tblBorders>
                      <w:top w:val="nil"/>
                      <w:left w:val="nil"/>
                      <w:bottom w:val="nil"/>
                      <w:right w:val="nil"/>
                      <w:insideH w:val="nil"/>
                      <w:insideV w:val="nil"/>
                    </w:tblBorders>
                  </w:tblPr>
                  <w:tr>
                    <w:tc>
                      <w:tcPr>
                        <w:tcW w:w="1250" w:type="pct"/>
                        <w:vAlign w:val="top"/>
                      </w:tcPr>
                      <w:p>
                        <w:pPr>
                          <w:spacing w:before="0" w:after="0" w:lineRule="auto" w:line="432"/>
                          <w:ind w:hanging="0"/>
                          <w:jc w:val="left"/>
                          <w:rPr>
                            <w:rFonts w:ascii="arial" w:eastAsia="arial" w:hAnsi="arial" w:cs="arial"/>
                            <w:b/>
                            <w:bCs/>
                            <w:i w:val="false"/>
                            <w:sz w:val="15"/>
                            <w:szCs w:val="15"/>
                          </w:rPr>
                        </w:pPr>
                        <w:r>
                          <w:rPr>
                            <w:rFonts w:ascii="arial" w:eastAsia="arial" w:hAnsi="arial" w:cs="arial"/>
                            <w:b/>
                            <w:bCs/>
                            <w:i w:val="false"/>
                            <w:sz w:val="15"/>
                            <w:szCs w:val="15"/>
                          </w:rPr>
                          <w:t xml:space="preserve">Annual Growth </w:t>
                        </w:r>
                        <w:r>
                          <w:br/>
                        </w:r>
                        <w:r>
                          <w:rPr>
                            <w:rFonts w:ascii="arial" w:eastAsia="arial" w:hAnsi="arial" w:cs="arial"/>
                            <w:b/>
                            <w:bCs/>
                            <w:i w:val="false"/>
                            <w:sz w:val="15"/>
                            <w:szCs w:val="15"/>
                          </w:rPr>
                          <w:t>2015–2020</w:t>
                        </w:r>
                      </w:p>
                      <w:p>
                        <w:pPr>
                          <w:spacing w:before="0" w:after="0" w:lineRule="auto" w:line="336"/>
                          <w:ind w:hanging="0"/>
                          <w:jc w:val="left"/>
                          <w:rPr>
                            <w:rFonts w:ascii="arial" w:eastAsia="arial" w:hAnsi="arial" w:cs="arial"/>
                            <w:b w:val="false"/>
                            <w:bCs w:val="false"/>
                            <w:i w:val="false"/>
                            <w:sz w:val="20"/>
                            <w:szCs w:val="20"/>
                          </w:rPr>
                        </w:pPr>
                        <w:r>
                          <w:rPr>
                            <w:rFonts w:ascii="arial" w:eastAsia="arial" w:hAnsi="arial" w:cs="arial"/>
                            <w:b w:val="false"/>
                            <w:bCs w:val="false"/>
                            <w:i w:val="false"/>
                            <w:sz w:val="20"/>
                            <w:szCs w:val="20"/>
                          </w:rPr>
                          <w:t>-24.5%</w:t>
                        </w:r>
                      </w:p>
                    </w:tc>
                    <w:tc>
                      <w:tcPr>
                        <w:tcW w:w="125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top"/>
                      </w:tcPr>
                      <w:p>
                        <w:pPr>
                          <w:spacing w:before="0" w:after="0" w:lineRule="auto" w:line="432"/>
                          <w:ind w:hanging="0"/>
                          <w:jc w:val="left"/>
                          <w:rPr>
                            <w:rFonts w:ascii="arial" w:eastAsia="arial" w:hAnsi="arial" w:cs="arial"/>
                            <w:b/>
                            <w:bCs/>
                            <w:i w:val="false"/>
                            <w:sz w:val="15"/>
                            <w:szCs w:val="15"/>
                          </w:rPr>
                        </w:pPr>
                        <w:r>
                          <w:rPr>
                            <w:rFonts w:ascii="arial" w:eastAsia="arial" w:hAnsi="arial" w:cs="arial"/>
                            <w:b/>
                            <w:bCs/>
                            <w:i w:val="false"/>
                            <w:sz w:val="15"/>
                            <w:szCs w:val="15"/>
                          </w:rPr>
                          <w:t xml:space="preserve">Annual Growth </w:t>
                        </w:r>
                        <w:r>
                          <w:br/>
                        </w:r>
                        <w:r>
                          <w:rPr>
                            <w:rFonts w:ascii="arial" w:eastAsia="arial" w:hAnsi="arial" w:cs="arial"/>
                            <w:b/>
                            <w:bCs/>
                            <w:i w:val="false"/>
                            <w:sz w:val="15"/>
                            <w:szCs w:val="15"/>
                          </w:rPr>
                          <w:t>2015–2020</w:t>
                        </w:r>
                      </w:p>
                      <w:p>
                        <w:pPr>
                          <w:spacing w:before="0" w:after="0" w:lineRule="atLeast" w:line="225"/>
                          <w:ind w:hanging="0"/>
                          <w:jc w:val="left"/>
                          <w:rPr>
                            <w:rFonts w:ascii="arial" w:eastAsia="arial" w:hAnsi="arial" w:cs="arial"/>
                            <w:b w:val="false"/>
                            <w:bCs w:val="false"/>
                            <w:i w:val="false"/>
                            <w:sz w:val="16"/>
                            <w:szCs w:val="16"/>
                          </w:rPr>
                        </w:pPr>
                        <w:r>
                          <w:drawing>
                            <wp:inline>
                              <wp:extent cx="1428750" cy="259773"/>
                              <wp:docPr id="25" name="Picture 25"/>
                              <a:graphic xmlns:a="http://schemas.openxmlformats.org/drawingml/2006/main">
                                <a:graphicData uri="http://schemas.openxmlformats.org/drawingml/2006/picture">
                                  <pic:pic xmlns:pic="http://schemas.openxmlformats.org/drawingml/2006/picture">
                                    <pic:nvPicPr>
                                      <pic:cNvPr id="26" name="Picture 26"/>
                                      <pic:cNvPicPr/>
                                    </pic:nvPicPr>
                                    <pic:blipFill>
                                      <a:blip r:embed="PictureId11" cstate="print"/>
                                      <a:stretch>
                                        <a:fillRect/>
                                      </a:stretch>
                                    </pic:blipFill>
                                    <pic:spPr>
                                      <a:xfrm>
                                        <a:off x="0" y="0"/>
                                        <a:ext cx="1428750" cy="259773"/>
                                      </a:xfrm>
                                      <a:prstGeom prst="rect">
                                        <a:avLst/>
                                      </a:prstGeom>
                                    </pic:spPr>
                                  </pic:pic>
                                </a:graphicData>
                              </a:graphic>
                            </wp:inline>
                          </w:drawing>
                        </w:r>
                      </w:p>
                    </w:tc>
                  </w:tr>
                </w:tbl>
                <w:p>
                  <w:pPr>
                    <w:pBdr>
                      <w:top w:val="single" w:sz="9" w:color="D8DDEA"/>
                    </w:pBd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bl>
                  <w:tblPr>
                    <w:jc w:val="left"/>
                    <w:tblCellSpacing w:w="30" w:type="dxa"/>
                    <w:tblBorders>
                      <w:top w:val="nil"/>
                      <w:left w:val="nil"/>
                      <w:bottom w:val="nil"/>
                      <w:right w:val="nil"/>
                      <w:insideH w:val="nil"/>
                      <w:insideV w:val="nil"/>
                    </w:tblBorders>
                  </w:tblP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drawing>
                            <wp:inline>
                              <wp:extent cx="361950" cy="352425"/>
                              <wp:docPr id="27" name="Picture 27" descr="Profit Margin"/>
                              <a:graphic xmlns:a="http://schemas.openxmlformats.org/drawingml/2006/main">
                                <a:graphicData uri="http://schemas.openxmlformats.org/drawingml/2006/picture">
                                  <pic:pic xmlns:pic="http://schemas.openxmlformats.org/drawingml/2006/picture">
                                    <pic:nvPicPr>
                                      <pic:cNvPr id="28" name="Picture 28"/>
                                      <pic:cNvPicPr/>
                                    </pic:nvPicPr>
                                    <pic:blipFill>
                                      <a:blip r:embed="PictureId12" cstate="print"/>
                                      <a:stretch>
                                        <a:fillRect/>
                                      </a:stretch>
                                    </pic:blipFill>
                                    <pic:spPr>
                                      <a:xfrm>
                                        <a:off x="0" y="0"/>
                                        <a:ext cx="361950" cy="352425"/>
                                      </a:xfrm>
                                      <a:prstGeom prst="rect">
                                        <a:avLst/>
                                      </a:prstGeom>
                                    </pic:spPr>
                                  </pic:pic>
                                </a:graphicData>
                              </a:graphic>
                            </wp:inline>
                          </w:drawing>
                        </w:r>
                      </w:p>
                    </w:tc>
                    <w:tc>
                      <w:tcPr>
                        <w:vAlign w:val="center"/>
                      </w:tcPr>
                      <w:p>
                        <w:pPr>
                          <w:spacing w:before="0" w:after="0" w:lineRule="atLeast" w:line="420"/>
                          <w:ind w:hanging="0"/>
                          <w:jc w:val="left"/>
                          <w:rPr>
                            <w:rFonts w:ascii="arial" w:eastAsia="arial" w:hAnsi="arial" w:cs="arial"/>
                            <w:b/>
                            <w:bCs/>
                            <w:i w:val="false"/>
                            <w:color w:val="87004F"/>
                            <w:sz w:val="27"/>
                            <w:szCs w:val="27"/>
                          </w:rPr>
                        </w:pPr>
                        <w:r>
                          <w:rPr>
                            <w:rFonts w:ascii="arial" w:eastAsia="arial" w:hAnsi="arial" w:cs="arial"/>
                            <w:b/>
                            <w:bCs/>
                            <w:i w:val="false"/>
                            <w:color w:val="87004F"/>
                            <w:sz w:val="27"/>
                            <w:szCs w:val="27"/>
                          </w:rPr>
                          <w:t xml:space="preserve">0.9% </w:t>
                        </w:r>
                      </w:p>
                      <w:p>
                        <w:pPr>
                          <w:spacing w:before="0" w:after="0" w:lineRule="auto" w:line="360"/>
                          <w:ind w:hanging="0"/>
                          <w:jc w:val="left"/>
                          <w:rPr>
                            <w:rFonts w:ascii="arial" w:eastAsia="arial" w:hAnsi="arial" w:cs="arial"/>
                            <w:b w:val="false"/>
                            <w:bCs w:val="false"/>
                            <w:i w:val="false"/>
                            <w:color w:val="87004F"/>
                            <w:sz w:val="15"/>
                            <w:szCs w:val="15"/>
                          </w:rPr>
                        </w:pPr>
                        <w:r>
                          <w:rPr>
                            <w:rFonts w:ascii="arial" w:eastAsia="arial" w:hAnsi="arial" w:cs="arial"/>
                            <w:b w:val="false"/>
                            <w:bCs w:val="false"/>
                            <w:i w:val="false"/>
                            <w:color w:val="87004F"/>
                            <w:sz w:val="15"/>
                            <w:szCs w:val="15"/>
                          </w:rPr>
                          <w:t>Profit Margin</w:t>
                        </w:r>
                      </w:p>
                    </w:tc>
                    <w:tc>
                      <w:tcPr>
                        <w:tcW w:w="2500" w:type="pct"/>
                        <w:vAlign w:val="center"/>
                      </w:tcPr>
                      <w:p>
                        <w:pPr/>
                      </w:p>
                    </w:tc>
                  </w:tr>
                </w:tbl>
                <w:p>
                  <w:pPr>
                    <w:spacing w:before="0" w:after="0"/>
                    <w:rPr>
                      <w:vanish/>
                    </w:rPr>
                  </w:pPr>
                </w:p>
                <w:tbl>
                  <w:tblPr>
                    <w:tblW w:w="5000" w:type="pct"/>
                    <w:jc w:val="left"/>
                    <w:tblCellSpacing w:w="30" w:type="dxa"/>
                    <w:tblBorders>
                      <w:top w:val="nil"/>
                      <w:left w:val="nil"/>
                      <w:bottom w:val="nil"/>
                      <w:right w:val="nil"/>
                      <w:insideH w:val="nil"/>
                      <w:insideV w:val="nil"/>
                    </w:tblBorders>
                  </w:tblPr>
                  <w:tr>
                    <w:tc>
                      <w:tcPr>
                        <w:tcW w:w="1250" w:type="pct"/>
                        <w:vAlign w:val="top"/>
                      </w:tcPr>
                      <w:p>
                        <w:pPr>
                          <w:spacing w:before="0" w:after="0" w:lineRule="auto" w:line="432"/>
                          <w:ind w:hanging="0"/>
                          <w:jc w:val="left"/>
                          <w:rPr>
                            <w:rFonts w:ascii="arial" w:eastAsia="arial" w:hAnsi="arial" w:cs="arial"/>
                            <w:b/>
                            <w:bCs/>
                            <w:i w:val="false"/>
                            <w:sz w:val="15"/>
                            <w:szCs w:val="15"/>
                          </w:rPr>
                        </w:pPr>
                        <w:r>
                          <w:rPr>
                            <w:rFonts w:ascii="arial" w:eastAsia="arial" w:hAnsi="arial" w:cs="arial"/>
                            <w:b/>
                            <w:bCs/>
                            <w:i w:val="false"/>
                            <w:sz w:val="15"/>
                            <w:szCs w:val="15"/>
                          </w:rPr>
                          <w:t xml:space="preserve">Annual Growth </w:t>
                        </w:r>
                        <w:r>
                          <w:br/>
                        </w:r>
                        <w:r>
                          <w:rPr>
                            <w:rFonts w:ascii="arial" w:eastAsia="arial" w:hAnsi="arial" w:cs="arial"/>
                            <w:b/>
                            <w:bCs/>
                            <w:i w:val="false"/>
                            <w:sz w:val="15"/>
                            <w:szCs w:val="15"/>
                          </w:rPr>
                          <w:t>2015–2020</w:t>
                        </w:r>
                      </w:p>
                      <w:p>
                        <w:pPr>
                          <w:spacing w:before="0" w:after="0" w:lineRule="auto" w:line="336"/>
                          <w:ind w:hanging="0"/>
                          <w:jc w:val="left"/>
                          <w:rPr>
                            <w:rFonts w:ascii="arial" w:eastAsia="arial" w:hAnsi="arial" w:cs="arial"/>
                            <w:b w:val="false"/>
                            <w:bCs w:val="false"/>
                            <w:i w:val="false"/>
                            <w:sz w:val="20"/>
                            <w:szCs w:val="20"/>
                          </w:rPr>
                        </w:pPr>
                        <w:r>
                          <w:rPr>
                            <w:rFonts w:ascii="arial" w:eastAsia="arial" w:hAnsi="arial" w:cs="arial"/>
                            <w:b w:val="false"/>
                            <w:bCs w:val="false"/>
                            <w:i w:val="false"/>
                            <w:sz w:val="20"/>
                            <w:szCs w:val="20"/>
                          </w:rPr>
                          <w:t>-1.8pp</w:t>
                        </w:r>
                      </w:p>
                    </w:tc>
                    <w:tc>
                      <w:tcPr>
                        <w:tcW w:w="125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top"/>
                      </w:tcPr>
                      <w:p>
                        <w:pPr>
                          <w:spacing w:before="0" w:after="0" w:lineRule="auto" w:line="432"/>
                          <w:ind w:hanging="0"/>
                          <w:jc w:val="left"/>
                          <w:rPr>
                            <w:rFonts w:ascii="arial" w:eastAsia="arial" w:hAnsi="arial" w:cs="arial"/>
                            <w:b/>
                            <w:bCs/>
                            <w:i w:val="false"/>
                            <w:sz w:val="15"/>
                            <w:szCs w:val="15"/>
                          </w:rPr>
                        </w:pPr>
                        <w:r>
                          <w:rPr>
                            <w:rFonts w:ascii="arial" w:eastAsia="arial" w:hAnsi="arial" w:cs="arial"/>
                            <w:b/>
                            <w:bCs/>
                            <w:i w:val="false"/>
                            <w:sz w:val="15"/>
                            <w:szCs w:val="15"/>
                          </w:rPr>
                          <w:t xml:space="preserve">Annual Growth </w:t>
                        </w:r>
                        <w:r>
                          <w:br/>
                        </w:r>
                        <w:r>
                          <w:rPr>
                            <w:rFonts w:ascii="arial" w:eastAsia="arial" w:hAnsi="arial" w:cs="arial"/>
                            <w:b/>
                            <w:bCs/>
                            <w:i w:val="false"/>
                            <w:sz w:val="15"/>
                            <w:szCs w:val="15"/>
                          </w:rPr>
                          <w:t>2015–2020</w:t>
                        </w:r>
                      </w:p>
                      <w:p>
                        <w:pPr>
                          <w:spacing w:before="0" w:after="0" w:lineRule="atLeast" w:line="225"/>
                          <w:ind w:hanging="0"/>
                          <w:jc w:val="left"/>
                          <w:rPr>
                            <w:rFonts w:ascii="arial" w:eastAsia="arial" w:hAnsi="arial" w:cs="arial"/>
                            <w:b w:val="false"/>
                            <w:bCs w:val="false"/>
                            <w:i w:val="false"/>
                            <w:sz w:val="16"/>
                            <w:szCs w:val="16"/>
                          </w:rPr>
                        </w:pPr>
                        <w:r>
                          <w:drawing>
                            <wp:inline>
                              <wp:extent cx="1428750" cy="259773"/>
                              <wp:docPr id="29" name="Picture 29"/>
                              <a:graphic xmlns:a="http://schemas.openxmlformats.org/drawingml/2006/main">
                                <a:graphicData uri="http://schemas.openxmlformats.org/drawingml/2006/picture">
                                  <pic:pic xmlns:pic="http://schemas.openxmlformats.org/drawingml/2006/picture">
                                    <pic:nvPicPr>
                                      <pic:cNvPr id="30" name="Picture 30"/>
                                      <pic:cNvPicPr/>
                                    </pic:nvPicPr>
                                    <pic:blipFill>
                                      <a:blip r:embed="PictureId13" cstate="print"/>
                                      <a:stretch>
                                        <a:fillRect/>
                                      </a:stretch>
                                    </pic:blipFill>
                                    <pic:spPr>
                                      <a:xfrm>
                                        <a:off x="0" y="0"/>
                                        <a:ext cx="1428750" cy="259773"/>
                                      </a:xfrm>
                                      <a:prstGeom prst="rect">
                                        <a:avLst/>
                                      </a:prstGeom>
                                    </pic:spPr>
                                  </pic:pic>
                                </a:graphicData>
                              </a:graphic>
                            </wp:inline>
                          </w:drawing>
                        </w:r>
                      </w:p>
                    </w:tc>
                  </w:tr>
                </w:tbl>
                <w:p>
                  <w:pPr>
                    <w:pBdr>
                      <w:top w:val="single" w:sz="9" w:color="D8DDEA"/>
                    </w:pBd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bl>
                  <w:tblPr>
                    <w:jc w:val="left"/>
                    <w:tblCellSpacing w:w="30" w:type="dxa"/>
                    <w:tblBorders>
                      <w:top w:val="nil"/>
                      <w:left w:val="nil"/>
                      <w:bottom w:val="nil"/>
                      <w:right w:val="nil"/>
                      <w:insideH w:val="nil"/>
                      <w:insideV w:val="nil"/>
                    </w:tblBorders>
                  </w:tblP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drawing>
                            <wp:inline>
                              <wp:extent cx="361950" cy="352425"/>
                              <wp:docPr id="31" name="Picture 31" descr="Businesses"/>
                              <a:graphic xmlns:a="http://schemas.openxmlformats.org/drawingml/2006/main">
                                <a:graphicData uri="http://schemas.openxmlformats.org/drawingml/2006/picture">
                                  <pic:pic xmlns:pic="http://schemas.openxmlformats.org/drawingml/2006/picture">
                                    <pic:nvPicPr>
                                      <pic:cNvPr id="32" name="Picture 32"/>
                                      <pic:cNvPicPr/>
                                    </pic:nvPicPr>
                                    <pic:blipFill>
                                      <a:blip r:embed="PictureId14" cstate="print"/>
                                      <a:stretch>
                                        <a:fillRect/>
                                      </a:stretch>
                                    </pic:blipFill>
                                    <pic:spPr>
                                      <a:xfrm>
                                        <a:off x="0" y="0"/>
                                        <a:ext cx="361950" cy="352425"/>
                                      </a:xfrm>
                                      <a:prstGeom prst="rect">
                                        <a:avLst/>
                                      </a:prstGeom>
                                    </pic:spPr>
                                  </pic:pic>
                                </a:graphicData>
                              </a:graphic>
                            </wp:inline>
                          </w:drawing>
                        </w:r>
                      </w:p>
                    </w:tc>
                    <w:tc>
                      <w:tcPr>
                        <w:vAlign w:val="center"/>
                      </w:tcPr>
                      <w:p>
                        <w:pPr>
                          <w:spacing w:before="0" w:after="0" w:lineRule="atLeast" w:line="420"/>
                          <w:ind w:hanging="0"/>
                          <w:jc w:val="left"/>
                          <w:rPr>
                            <w:rFonts w:ascii="arial" w:eastAsia="arial" w:hAnsi="arial" w:cs="arial"/>
                            <w:b/>
                            <w:bCs/>
                            <w:i w:val="false"/>
                            <w:color w:val="B40F4C"/>
                            <w:sz w:val="27"/>
                            <w:szCs w:val="27"/>
                          </w:rPr>
                        </w:pPr>
                        <w:r>
                          <w:rPr>
                            <w:rFonts w:ascii="arial" w:eastAsia="arial" w:hAnsi="arial" w:cs="arial"/>
                            <w:b/>
                            <w:bCs/>
                            <w:i w:val="false"/>
                            <w:color w:val="B40F4C"/>
                            <w:sz w:val="27"/>
                            <w:szCs w:val="27"/>
                          </w:rPr>
                          <w:t xml:space="preserve">8,012 </w:t>
                        </w:r>
                      </w:p>
                      <w:p>
                        <w:pPr>
                          <w:spacing w:before="0" w:after="0" w:lineRule="auto" w:line="360"/>
                          <w:ind w:hanging="0"/>
                          <w:jc w:val="left"/>
                          <w:rPr>
                            <w:rFonts w:ascii="arial" w:eastAsia="arial" w:hAnsi="arial" w:cs="arial"/>
                            <w:b w:val="false"/>
                            <w:bCs w:val="false"/>
                            <w:i w:val="false"/>
                            <w:color w:val="B40F4C"/>
                            <w:sz w:val="15"/>
                            <w:szCs w:val="15"/>
                          </w:rPr>
                        </w:pPr>
                        <w:r>
                          <w:rPr>
                            <w:rFonts w:ascii="arial" w:eastAsia="arial" w:hAnsi="arial" w:cs="arial"/>
                            <w:b w:val="false"/>
                            <w:bCs w:val="false"/>
                            <w:i w:val="false"/>
                            <w:color w:val="B40F4C"/>
                            <w:sz w:val="15"/>
                            <w:szCs w:val="15"/>
                          </w:rPr>
                          <w:t>Businesses</w:t>
                        </w:r>
                      </w:p>
                    </w:tc>
                    <w:tc>
                      <w:tcPr>
                        <w:tcW w:w="2500" w:type="pct"/>
                        <w:vAlign w:val="center"/>
                      </w:tcPr>
                      <w:p>
                        <w:pPr/>
                      </w:p>
                    </w:tc>
                  </w:tr>
                </w:tbl>
                <w:p>
                  <w:pPr>
                    <w:spacing w:before="0" w:after="0"/>
                    <w:rPr>
                      <w:vanish/>
                    </w:rPr>
                  </w:pPr>
                </w:p>
                <w:tbl>
                  <w:tblPr>
                    <w:tblW w:w="5000" w:type="pct"/>
                    <w:jc w:val="left"/>
                    <w:tblCellSpacing w:w="30" w:type="dxa"/>
                    <w:tblBorders>
                      <w:top w:val="nil"/>
                      <w:left w:val="nil"/>
                      <w:bottom w:val="nil"/>
                      <w:right w:val="nil"/>
                      <w:insideH w:val="nil"/>
                      <w:insideV w:val="nil"/>
                    </w:tblBorders>
                  </w:tblPr>
                  <w:tr>
                    <w:tc>
                      <w:tcPr>
                        <w:tcW w:w="1250" w:type="pct"/>
                        <w:vAlign w:val="top"/>
                      </w:tcPr>
                      <w:p>
                        <w:pPr>
                          <w:spacing w:before="0" w:after="0" w:lineRule="auto" w:line="432"/>
                          <w:ind w:hanging="0"/>
                          <w:jc w:val="left"/>
                          <w:rPr>
                            <w:rFonts w:ascii="arial" w:eastAsia="arial" w:hAnsi="arial" w:cs="arial"/>
                            <w:b/>
                            <w:bCs/>
                            <w:i w:val="false"/>
                            <w:sz w:val="15"/>
                            <w:szCs w:val="15"/>
                          </w:rPr>
                        </w:pPr>
                        <w:r>
                          <w:rPr>
                            <w:rFonts w:ascii="arial" w:eastAsia="arial" w:hAnsi="arial" w:cs="arial"/>
                            <w:b/>
                            <w:bCs/>
                            <w:i w:val="false"/>
                            <w:sz w:val="15"/>
                            <w:szCs w:val="15"/>
                          </w:rPr>
                          <w:t xml:space="preserve">Annual Growth </w:t>
                        </w:r>
                        <w:r>
                          <w:br/>
                        </w:r>
                        <w:r>
                          <w:rPr>
                            <w:rFonts w:ascii="arial" w:eastAsia="arial" w:hAnsi="arial" w:cs="arial"/>
                            <w:b/>
                            <w:bCs/>
                            <w:i w:val="false"/>
                            <w:sz w:val="15"/>
                            <w:szCs w:val="15"/>
                          </w:rPr>
                          <w:t>2015–2020</w:t>
                        </w:r>
                      </w:p>
                      <w:p>
                        <w:pPr>
                          <w:spacing w:before="0" w:after="0" w:lineRule="auto" w:line="336"/>
                          <w:ind w:hanging="0"/>
                          <w:jc w:val="left"/>
                          <w:rPr>
                            <w:rFonts w:ascii="arial" w:eastAsia="arial" w:hAnsi="arial" w:cs="arial"/>
                            <w:b w:val="false"/>
                            <w:bCs w:val="false"/>
                            <w:i w:val="false"/>
                            <w:sz w:val="20"/>
                            <w:szCs w:val="20"/>
                          </w:rPr>
                        </w:pPr>
                        <w:r>
                          <w:rPr>
                            <w:rFonts w:ascii="arial" w:eastAsia="arial" w:hAnsi="arial" w:cs="arial"/>
                            <w:b w:val="false"/>
                            <w:bCs w:val="false"/>
                            <w:i w:val="false"/>
                            <w:sz w:val="20"/>
                            <w:szCs w:val="20"/>
                          </w:rPr>
                          <w:t>-1.9%</w:t>
                        </w:r>
                      </w:p>
                    </w:tc>
                    <w:tc>
                      <w:tcPr>
                        <w:tcW w:w="1250" w:type="pct"/>
                        <w:vAlign w:val="top"/>
                      </w:tcPr>
                      <w:p>
                        <w:pPr>
                          <w:spacing w:before="0" w:after="0" w:lineRule="auto" w:line="432"/>
                          <w:ind w:hanging="0"/>
                          <w:jc w:val="left"/>
                          <w:rPr>
                            <w:rFonts w:ascii="arial" w:eastAsia="arial" w:hAnsi="arial" w:cs="arial"/>
                            <w:b/>
                            <w:bCs/>
                            <w:i w:val="false"/>
                            <w:sz w:val="15"/>
                            <w:szCs w:val="15"/>
                          </w:rPr>
                        </w:pPr>
                        <w:r>
                          <w:rPr>
                            <w:rFonts w:ascii="arial" w:eastAsia="arial" w:hAnsi="arial" w:cs="arial"/>
                            <w:b/>
                            <w:bCs/>
                            <w:i w:val="false"/>
                            <w:sz w:val="15"/>
                            <w:szCs w:val="15"/>
                          </w:rPr>
                          <w:t xml:space="preserve">Annual Growth </w:t>
                        </w:r>
                        <w:r>
                          <w:br/>
                        </w:r>
                        <w:r>
                          <w:rPr>
                            <w:rFonts w:ascii="arial" w:eastAsia="arial" w:hAnsi="arial" w:cs="arial"/>
                            <w:b/>
                            <w:bCs/>
                            <w:i w:val="false"/>
                            <w:sz w:val="15"/>
                            <w:szCs w:val="15"/>
                          </w:rPr>
                          <w:t>2020–2025</w:t>
                        </w:r>
                      </w:p>
                      <w:p>
                        <w:pPr>
                          <w:spacing w:before="0" w:after="0" w:lineRule="auto" w:line="336"/>
                          <w:ind w:hanging="0"/>
                          <w:jc w:val="left"/>
                          <w:rPr>
                            <w:rFonts w:ascii="arial" w:eastAsia="arial" w:hAnsi="arial" w:cs="arial"/>
                            <w:b w:val="false"/>
                            <w:bCs w:val="false"/>
                            <w:i w:val="false"/>
                            <w:sz w:val="20"/>
                            <w:szCs w:val="20"/>
                          </w:rPr>
                        </w:pPr>
                        <w:r>
                          <w:rPr>
                            <w:rFonts w:ascii="arial" w:eastAsia="arial" w:hAnsi="arial" w:cs="arial"/>
                            <w:b w:val="false"/>
                            <w:bCs w:val="false"/>
                            <w:i w:val="false"/>
                            <w:sz w:val="20"/>
                            <w:szCs w:val="20"/>
                          </w:rPr>
                          <w:t>-0.4%</w:t>
                        </w:r>
                      </w:p>
                    </w:tc>
                    <w:tc>
                      <w:tcPr>
                        <w:tcW w:w="2500" w:type="pct"/>
                        <w:vAlign w:val="top"/>
                      </w:tcPr>
                      <w:p>
                        <w:pPr>
                          <w:spacing w:before="0" w:after="0" w:lineRule="auto" w:line="432"/>
                          <w:ind w:hanging="0"/>
                          <w:jc w:val="left"/>
                          <w:rPr>
                            <w:rFonts w:ascii="arial" w:eastAsia="arial" w:hAnsi="arial" w:cs="arial"/>
                            <w:b/>
                            <w:bCs/>
                            <w:i w:val="false"/>
                            <w:sz w:val="15"/>
                            <w:szCs w:val="15"/>
                          </w:rPr>
                        </w:pPr>
                        <w:r>
                          <w:rPr>
                            <w:rFonts w:ascii="arial" w:eastAsia="arial" w:hAnsi="arial" w:cs="arial"/>
                            <w:b/>
                            <w:bCs/>
                            <w:i w:val="false"/>
                            <w:sz w:val="15"/>
                            <w:szCs w:val="15"/>
                          </w:rPr>
                          <w:t xml:space="preserve">Annual Growth </w:t>
                        </w:r>
                        <w:r>
                          <w:br/>
                        </w:r>
                        <w:r>
                          <w:rPr>
                            <w:rFonts w:ascii="arial" w:eastAsia="arial" w:hAnsi="arial" w:cs="arial"/>
                            <w:b/>
                            <w:bCs/>
                            <w:i w:val="false"/>
                            <w:sz w:val="15"/>
                            <w:szCs w:val="15"/>
                          </w:rPr>
                          <w:t>2015–2025</w:t>
                        </w:r>
                      </w:p>
                      <w:p>
                        <w:pPr>
                          <w:spacing w:before="0" w:after="0" w:lineRule="atLeast" w:line="225"/>
                          <w:ind w:hanging="0"/>
                          <w:jc w:val="left"/>
                          <w:rPr>
                            <w:rFonts w:ascii="arial" w:eastAsia="arial" w:hAnsi="arial" w:cs="arial"/>
                            <w:b w:val="false"/>
                            <w:bCs w:val="false"/>
                            <w:i w:val="false"/>
                            <w:sz w:val="16"/>
                            <w:szCs w:val="16"/>
                          </w:rPr>
                        </w:pPr>
                        <w:r>
                          <w:drawing>
                            <wp:inline>
                              <wp:extent cx="1428750" cy="259773"/>
                              <wp:docPr id="33" name="Picture 33"/>
                              <a:graphic xmlns:a="http://schemas.openxmlformats.org/drawingml/2006/main">
                                <a:graphicData uri="http://schemas.openxmlformats.org/drawingml/2006/picture">
                                  <pic:pic xmlns:pic="http://schemas.openxmlformats.org/drawingml/2006/picture">
                                    <pic:nvPicPr>
                                      <pic:cNvPr id="34" name="Picture 34"/>
                                      <pic:cNvPicPr/>
                                    </pic:nvPicPr>
                                    <pic:blipFill>
                                      <a:blip r:embed="PictureId15" cstate="print"/>
                                      <a:stretch>
                                        <a:fillRect/>
                                      </a:stretch>
                                    </pic:blipFill>
                                    <pic:spPr>
                                      <a:xfrm>
                                        <a:off x="0" y="0"/>
                                        <a:ext cx="1428750" cy="259773"/>
                                      </a:xfrm>
                                      <a:prstGeom prst="rect">
                                        <a:avLst/>
                                      </a:prstGeom>
                                    </pic:spPr>
                                  </pic:pic>
                                </a:graphicData>
                              </a:graphic>
                            </wp:inline>
                          </w:drawing>
                        </w:r>
                      </w:p>
                    </w:tc>
                  </w:tr>
                </w:tbl>
                <w:p>
                  <w:pPr>
                    <w:pBdr>
                      <w:top w:val="single" w:sz="9" w:color="D8DDEA"/>
                    </w:pBd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bl>
                  <w:tblPr>
                    <w:jc w:val="left"/>
                    <w:tblCellSpacing w:w="30" w:type="dxa"/>
                    <w:tblBorders>
                      <w:top w:val="nil"/>
                      <w:left w:val="nil"/>
                      <w:bottom w:val="nil"/>
                      <w:right w:val="nil"/>
                      <w:insideH w:val="nil"/>
                      <w:insideV w:val="nil"/>
                    </w:tblBorders>
                  </w:tblP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drawing>
                            <wp:inline>
                              <wp:extent cx="361950" cy="352425"/>
                              <wp:docPr id="35" name="Picture 35" descr="Employment"/>
                              <a:graphic xmlns:a="http://schemas.openxmlformats.org/drawingml/2006/main">
                                <a:graphicData uri="http://schemas.openxmlformats.org/drawingml/2006/picture">
                                  <pic:pic xmlns:pic="http://schemas.openxmlformats.org/drawingml/2006/picture">
                                    <pic:nvPicPr>
                                      <pic:cNvPr id="36" name="Picture 36"/>
                                      <pic:cNvPicPr/>
                                    </pic:nvPicPr>
                                    <pic:blipFill>
                                      <a:blip r:embed="PictureId16" cstate="print"/>
                                      <a:stretch>
                                        <a:fillRect/>
                                      </a:stretch>
                                    </pic:blipFill>
                                    <pic:spPr>
                                      <a:xfrm>
                                        <a:off x="0" y="0"/>
                                        <a:ext cx="361950" cy="352425"/>
                                      </a:xfrm>
                                      <a:prstGeom prst="rect">
                                        <a:avLst/>
                                      </a:prstGeom>
                                    </pic:spPr>
                                  </pic:pic>
                                </a:graphicData>
                              </a:graphic>
                            </wp:inline>
                          </w:drawing>
                        </w:r>
                      </w:p>
                    </w:tc>
                    <w:tc>
                      <w:tcPr>
                        <w:vAlign w:val="center"/>
                      </w:tcPr>
                      <w:p>
                        <w:pPr>
                          <w:spacing w:before="0" w:after="0" w:lineRule="atLeast" w:line="420"/>
                          <w:ind w:hanging="0"/>
                          <w:jc w:val="left"/>
                          <w:rPr>
                            <w:rFonts w:ascii="arial" w:eastAsia="arial" w:hAnsi="arial" w:cs="arial"/>
                            <w:b/>
                            <w:bCs/>
                            <w:i w:val="false"/>
                            <w:color w:val="DD5F0C"/>
                            <w:sz w:val="27"/>
                            <w:szCs w:val="27"/>
                          </w:rPr>
                        </w:pPr>
                        <w:r>
                          <w:rPr>
                            <w:rFonts w:ascii="arial" w:eastAsia="arial" w:hAnsi="arial" w:cs="arial"/>
                            <w:b/>
                            <w:bCs/>
                            <w:i w:val="false"/>
                            <w:color w:val="DD5F0C"/>
                            <w:sz w:val="27"/>
                            <w:szCs w:val="27"/>
                          </w:rPr>
                          <w:t xml:space="preserve">50,322 </w:t>
                        </w:r>
                      </w:p>
                      <w:p>
                        <w:pPr>
                          <w:spacing w:before="0" w:after="0" w:lineRule="auto" w:line="360"/>
                          <w:ind w:hanging="0"/>
                          <w:jc w:val="left"/>
                          <w:rPr>
                            <w:rFonts w:ascii="arial" w:eastAsia="arial" w:hAnsi="arial" w:cs="arial"/>
                            <w:b w:val="false"/>
                            <w:bCs w:val="false"/>
                            <w:i w:val="false"/>
                            <w:color w:val="DD5F0C"/>
                            <w:sz w:val="15"/>
                            <w:szCs w:val="15"/>
                          </w:rPr>
                        </w:pPr>
                        <w:r>
                          <w:rPr>
                            <w:rFonts w:ascii="arial" w:eastAsia="arial" w:hAnsi="arial" w:cs="arial"/>
                            <w:b w:val="false"/>
                            <w:bCs w:val="false"/>
                            <w:i w:val="false"/>
                            <w:color w:val="DD5F0C"/>
                            <w:sz w:val="15"/>
                            <w:szCs w:val="15"/>
                          </w:rPr>
                          <w:t>Employment</w:t>
                        </w:r>
                      </w:p>
                    </w:tc>
                    <w:tc>
                      <w:tcPr>
                        <w:tcW w:w="2500" w:type="pct"/>
                        <w:vAlign w:val="center"/>
                      </w:tcPr>
                      <w:p>
                        <w:pPr/>
                      </w:p>
                    </w:tc>
                  </w:tr>
                </w:tbl>
                <w:p>
                  <w:pPr>
                    <w:spacing w:before="0" w:after="0"/>
                    <w:rPr>
                      <w:vanish/>
                    </w:rPr>
                  </w:pPr>
                </w:p>
                <w:tbl>
                  <w:tblPr>
                    <w:tblW w:w="5000" w:type="pct"/>
                    <w:jc w:val="left"/>
                    <w:tblCellSpacing w:w="30" w:type="dxa"/>
                    <w:tblBorders>
                      <w:top w:val="nil"/>
                      <w:left w:val="nil"/>
                      <w:bottom w:val="nil"/>
                      <w:right w:val="nil"/>
                      <w:insideH w:val="nil"/>
                      <w:insideV w:val="nil"/>
                    </w:tblBorders>
                  </w:tblPr>
                  <w:tr>
                    <w:tc>
                      <w:tcPr>
                        <w:tcW w:w="1250" w:type="pct"/>
                        <w:vAlign w:val="top"/>
                      </w:tcPr>
                      <w:p>
                        <w:pPr>
                          <w:spacing w:before="0" w:after="0" w:lineRule="auto" w:line="432"/>
                          <w:ind w:hanging="0"/>
                          <w:jc w:val="left"/>
                          <w:rPr>
                            <w:rFonts w:ascii="arial" w:eastAsia="arial" w:hAnsi="arial" w:cs="arial"/>
                            <w:b/>
                            <w:bCs/>
                            <w:i w:val="false"/>
                            <w:sz w:val="15"/>
                            <w:szCs w:val="15"/>
                          </w:rPr>
                        </w:pPr>
                        <w:r>
                          <w:rPr>
                            <w:rFonts w:ascii="arial" w:eastAsia="arial" w:hAnsi="arial" w:cs="arial"/>
                            <w:b/>
                            <w:bCs/>
                            <w:i w:val="false"/>
                            <w:sz w:val="15"/>
                            <w:szCs w:val="15"/>
                          </w:rPr>
                          <w:t xml:space="preserve">Annual Growth </w:t>
                        </w:r>
                        <w:r>
                          <w:br/>
                        </w:r>
                        <w:r>
                          <w:rPr>
                            <w:rFonts w:ascii="arial" w:eastAsia="arial" w:hAnsi="arial" w:cs="arial"/>
                            <w:b/>
                            <w:bCs/>
                            <w:i w:val="false"/>
                            <w:sz w:val="15"/>
                            <w:szCs w:val="15"/>
                          </w:rPr>
                          <w:t>2015–2020</w:t>
                        </w:r>
                      </w:p>
                      <w:p>
                        <w:pPr>
                          <w:spacing w:before="0" w:after="0" w:lineRule="auto" w:line="336"/>
                          <w:ind w:hanging="0"/>
                          <w:jc w:val="left"/>
                          <w:rPr>
                            <w:rFonts w:ascii="arial" w:eastAsia="arial" w:hAnsi="arial" w:cs="arial"/>
                            <w:b w:val="false"/>
                            <w:bCs w:val="false"/>
                            <w:i w:val="false"/>
                            <w:sz w:val="20"/>
                            <w:szCs w:val="20"/>
                          </w:rPr>
                        </w:pPr>
                        <w:r>
                          <w:rPr>
                            <w:rFonts w:ascii="arial" w:eastAsia="arial" w:hAnsi="arial" w:cs="arial"/>
                            <w:b w:val="false"/>
                            <w:bCs w:val="false"/>
                            <w:i w:val="false"/>
                            <w:sz w:val="20"/>
                            <w:szCs w:val="20"/>
                          </w:rPr>
                          <w:t>-2.7%</w:t>
                        </w:r>
                      </w:p>
                    </w:tc>
                    <w:tc>
                      <w:tcPr>
                        <w:tcW w:w="1250" w:type="pct"/>
                        <w:vAlign w:val="top"/>
                      </w:tcPr>
                      <w:p>
                        <w:pPr>
                          <w:spacing w:before="0" w:after="0" w:lineRule="auto" w:line="432"/>
                          <w:ind w:hanging="0"/>
                          <w:jc w:val="left"/>
                          <w:rPr>
                            <w:rFonts w:ascii="arial" w:eastAsia="arial" w:hAnsi="arial" w:cs="arial"/>
                            <w:b/>
                            <w:bCs/>
                            <w:i w:val="false"/>
                            <w:sz w:val="15"/>
                            <w:szCs w:val="15"/>
                          </w:rPr>
                        </w:pPr>
                        <w:r>
                          <w:rPr>
                            <w:rFonts w:ascii="arial" w:eastAsia="arial" w:hAnsi="arial" w:cs="arial"/>
                            <w:b/>
                            <w:bCs/>
                            <w:i w:val="false"/>
                            <w:sz w:val="15"/>
                            <w:szCs w:val="15"/>
                          </w:rPr>
                          <w:t xml:space="preserve">Annual Growth </w:t>
                        </w:r>
                        <w:r>
                          <w:br/>
                        </w:r>
                        <w:r>
                          <w:rPr>
                            <w:rFonts w:ascii="arial" w:eastAsia="arial" w:hAnsi="arial" w:cs="arial"/>
                            <w:b/>
                            <w:bCs/>
                            <w:i w:val="false"/>
                            <w:sz w:val="15"/>
                            <w:szCs w:val="15"/>
                          </w:rPr>
                          <w:t>2020–2025</w:t>
                        </w:r>
                      </w:p>
                      <w:p>
                        <w:pPr>
                          <w:spacing w:before="0" w:after="0" w:lineRule="auto" w:line="336"/>
                          <w:ind w:hanging="0"/>
                          <w:jc w:val="left"/>
                          <w:rPr>
                            <w:rFonts w:ascii="arial" w:eastAsia="arial" w:hAnsi="arial" w:cs="arial"/>
                            <w:b w:val="false"/>
                            <w:bCs w:val="false"/>
                            <w:i w:val="false"/>
                            <w:sz w:val="20"/>
                            <w:szCs w:val="20"/>
                          </w:rPr>
                        </w:pPr>
                        <w:r>
                          <w:rPr>
                            <w:rFonts w:ascii="arial" w:eastAsia="arial" w:hAnsi="arial" w:cs="arial"/>
                            <w:b w:val="false"/>
                            <w:bCs w:val="false"/>
                            <w:i w:val="false"/>
                            <w:sz w:val="20"/>
                            <w:szCs w:val="20"/>
                          </w:rPr>
                          <w:t>0.3%</w:t>
                        </w:r>
                      </w:p>
                    </w:tc>
                    <w:tc>
                      <w:tcPr>
                        <w:tcW w:w="2500" w:type="pct"/>
                        <w:vAlign w:val="top"/>
                      </w:tcPr>
                      <w:p>
                        <w:pPr>
                          <w:spacing w:before="0" w:after="0" w:lineRule="auto" w:line="432"/>
                          <w:ind w:hanging="0"/>
                          <w:jc w:val="left"/>
                          <w:rPr>
                            <w:rFonts w:ascii="arial" w:eastAsia="arial" w:hAnsi="arial" w:cs="arial"/>
                            <w:b/>
                            <w:bCs/>
                            <w:i w:val="false"/>
                            <w:sz w:val="15"/>
                            <w:szCs w:val="15"/>
                          </w:rPr>
                        </w:pPr>
                        <w:r>
                          <w:rPr>
                            <w:rFonts w:ascii="arial" w:eastAsia="arial" w:hAnsi="arial" w:cs="arial"/>
                            <w:b/>
                            <w:bCs/>
                            <w:i w:val="false"/>
                            <w:sz w:val="15"/>
                            <w:szCs w:val="15"/>
                          </w:rPr>
                          <w:t xml:space="preserve">Annual Growth </w:t>
                        </w:r>
                        <w:r>
                          <w:br/>
                        </w:r>
                        <w:r>
                          <w:rPr>
                            <w:rFonts w:ascii="arial" w:eastAsia="arial" w:hAnsi="arial" w:cs="arial"/>
                            <w:b/>
                            <w:bCs/>
                            <w:i w:val="false"/>
                            <w:sz w:val="15"/>
                            <w:szCs w:val="15"/>
                          </w:rPr>
                          <w:t>2015–2025</w:t>
                        </w:r>
                      </w:p>
                      <w:p>
                        <w:pPr>
                          <w:spacing w:before="0" w:after="0" w:lineRule="atLeast" w:line="225"/>
                          <w:ind w:hanging="0"/>
                          <w:jc w:val="left"/>
                          <w:rPr>
                            <w:rFonts w:ascii="arial" w:eastAsia="arial" w:hAnsi="arial" w:cs="arial"/>
                            <w:b w:val="false"/>
                            <w:bCs w:val="false"/>
                            <w:i w:val="false"/>
                            <w:sz w:val="16"/>
                            <w:szCs w:val="16"/>
                          </w:rPr>
                        </w:pPr>
                        <w:r>
                          <w:drawing>
                            <wp:inline>
                              <wp:extent cx="1428750" cy="259773"/>
                              <wp:docPr id="37" name="Picture 37"/>
                              <a:graphic xmlns:a="http://schemas.openxmlformats.org/drawingml/2006/main">
                                <a:graphicData uri="http://schemas.openxmlformats.org/drawingml/2006/picture">
                                  <pic:pic xmlns:pic="http://schemas.openxmlformats.org/drawingml/2006/picture">
                                    <pic:nvPicPr>
                                      <pic:cNvPr id="38" name="Picture 38"/>
                                      <pic:cNvPicPr/>
                                    </pic:nvPicPr>
                                    <pic:blipFill>
                                      <a:blip r:embed="PictureId17" cstate="print"/>
                                      <a:stretch>
                                        <a:fillRect/>
                                      </a:stretch>
                                    </pic:blipFill>
                                    <pic:spPr>
                                      <a:xfrm>
                                        <a:off x="0" y="0"/>
                                        <a:ext cx="1428750" cy="259773"/>
                                      </a:xfrm>
                                      <a:prstGeom prst="rect">
                                        <a:avLst/>
                                      </a:prstGeom>
                                    </pic:spPr>
                                  </pic:pic>
                                </a:graphicData>
                              </a:graphic>
                            </wp:inline>
                          </w:drawing>
                        </w:r>
                      </w:p>
                    </w:tc>
                  </w:tr>
                </w:tbl>
                <w:p>
                  <w:pPr>
                    <w:pBdr>
                      <w:top w:val="single" w:sz="9" w:color="D8DDEA"/>
                    </w:pBd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bl>
                  <w:tblPr>
                    <w:jc w:val="left"/>
                    <w:tblCellSpacing w:w="30" w:type="dxa"/>
                    <w:tblBorders>
                      <w:top w:val="nil"/>
                      <w:left w:val="nil"/>
                      <w:bottom w:val="nil"/>
                      <w:right w:val="nil"/>
                      <w:insideH w:val="nil"/>
                      <w:insideV w:val="nil"/>
                    </w:tblBorders>
                  </w:tblP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drawing>
                            <wp:inline>
                              <wp:extent cx="361950" cy="352425"/>
                              <wp:docPr id="39" name="Picture 39" descr="Wages"/>
                              <a:graphic xmlns:a="http://schemas.openxmlformats.org/drawingml/2006/main">
                                <a:graphicData uri="http://schemas.openxmlformats.org/drawingml/2006/picture">
                                  <pic:pic xmlns:pic="http://schemas.openxmlformats.org/drawingml/2006/picture">
                                    <pic:nvPicPr>
                                      <pic:cNvPr id="40" name="Picture 40"/>
                                      <pic:cNvPicPr/>
                                    </pic:nvPicPr>
                                    <pic:blipFill>
                                      <a:blip r:embed="PictureId18" cstate="print"/>
                                      <a:stretch>
                                        <a:fillRect/>
                                      </a:stretch>
                                    </pic:blipFill>
                                    <pic:spPr>
                                      <a:xfrm>
                                        <a:off x="0" y="0"/>
                                        <a:ext cx="361950" cy="352425"/>
                                      </a:xfrm>
                                      <a:prstGeom prst="rect">
                                        <a:avLst/>
                                      </a:prstGeom>
                                    </pic:spPr>
                                  </pic:pic>
                                </a:graphicData>
                              </a:graphic>
                            </wp:inline>
                          </w:drawing>
                        </w:r>
                      </w:p>
                    </w:tc>
                    <w:tc>
                      <w:tcPr>
                        <w:vAlign w:val="center"/>
                      </w:tcPr>
                      <w:p>
                        <w:pPr>
                          <w:spacing w:before="0" w:after="0" w:lineRule="atLeast" w:line="420"/>
                          <w:ind w:hanging="0"/>
                          <w:jc w:val="left"/>
                          <w:rPr>
                            <w:rFonts w:ascii="arial" w:eastAsia="arial" w:hAnsi="arial" w:cs="arial"/>
                            <w:b/>
                            <w:bCs/>
                            <w:i w:val="false"/>
                            <w:color w:val="4F108A"/>
                            <w:sz w:val="27"/>
                            <w:szCs w:val="27"/>
                          </w:rPr>
                        </w:pPr>
                        <w:r>
                          <w:rPr>
                            <w:rFonts w:ascii="arial" w:eastAsia="arial" w:hAnsi="arial" w:cs="arial"/>
                            <w:b/>
                            <w:bCs/>
                            <w:i w:val="false"/>
                            <w:color w:val="4F108A"/>
                            <w:sz w:val="27"/>
                            <w:szCs w:val="27"/>
                          </w:rPr>
                          <w:t xml:space="preserve">$1.4bn </w:t>
                        </w:r>
                      </w:p>
                      <w:p>
                        <w:pPr>
                          <w:spacing w:before="0" w:after="0" w:lineRule="auto" w:line="360"/>
                          <w:ind w:hanging="0"/>
                          <w:jc w:val="left"/>
                          <w:rPr>
                            <w:rFonts w:ascii="arial" w:eastAsia="arial" w:hAnsi="arial" w:cs="arial"/>
                            <w:b w:val="false"/>
                            <w:bCs w:val="false"/>
                            <w:i w:val="false"/>
                            <w:color w:val="4F108A"/>
                            <w:sz w:val="15"/>
                            <w:szCs w:val="15"/>
                          </w:rPr>
                        </w:pPr>
                        <w:r>
                          <w:rPr>
                            <w:rFonts w:ascii="arial" w:eastAsia="arial" w:hAnsi="arial" w:cs="arial"/>
                            <w:b w:val="false"/>
                            <w:bCs w:val="false"/>
                            <w:i w:val="false"/>
                            <w:color w:val="4F108A"/>
                            <w:sz w:val="15"/>
                            <w:szCs w:val="15"/>
                          </w:rPr>
                          <w:t>Wages</w:t>
                        </w:r>
                      </w:p>
                    </w:tc>
                    <w:tc>
                      <w:tcPr>
                        <w:tcW w:w="2500" w:type="pct"/>
                        <w:vAlign w:val="center"/>
                      </w:tcPr>
                      <w:p>
                        <w:pPr/>
                      </w:p>
                    </w:tc>
                  </w:tr>
                </w:tbl>
                <w:p>
                  <w:pPr>
                    <w:spacing w:before="0" w:after="0"/>
                    <w:rPr>
                      <w:vanish/>
                    </w:rPr>
                  </w:pPr>
                </w:p>
                <w:tbl>
                  <w:tblPr>
                    <w:tblW w:w="5000" w:type="pct"/>
                    <w:jc w:val="left"/>
                    <w:tblCellSpacing w:w="30" w:type="dxa"/>
                    <w:tblBorders>
                      <w:top w:val="nil"/>
                      <w:left w:val="nil"/>
                      <w:bottom w:val="nil"/>
                      <w:right w:val="nil"/>
                      <w:insideH w:val="nil"/>
                      <w:insideV w:val="nil"/>
                    </w:tblBorders>
                  </w:tblPr>
                  <w:tr>
                    <w:tc>
                      <w:tcPr>
                        <w:tcW w:w="1250" w:type="pct"/>
                        <w:vAlign w:val="top"/>
                      </w:tcPr>
                      <w:p>
                        <w:pPr>
                          <w:spacing w:before="0" w:after="0" w:lineRule="auto" w:line="432"/>
                          <w:ind w:hanging="0"/>
                          <w:jc w:val="left"/>
                          <w:rPr>
                            <w:rFonts w:ascii="arial" w:eastAsia="arial" w:hAnsi="arial" w:cs="arial"/>
                            <w:b/>
                            <w:bCs/>
                            <w:i w:val="false"/>
                            <w:sz w:val="15"/>
                            <w:szCs w:val="15"/>
                          </w:rPr>
                        </w:pPr>
                        <w:r>
                          <w:rPr>
                            <w:rFonts w:ascii="arial" w:eastAsia="arial" w:hAnsi="arial" w:cs="arial"/>
                            <w:b/>
                            <w:bCs/>
                            <w:i w:val="false"/>
                            <w:sz w:val="15"/>
                            <w:szCs w:val="15"/>
                          </w:rPr>
                          <w:t xml:space="preserve">Annual Growth </w:t>
                        </w:r>
                        <w:r>
                          <w:br/>
                        </w:r>
                        <w:r>
                          <w:rPr>
                            <w:rFonts w:ascii="arial" w:eastAsia="arial" w:hAnsi="arial" w:cs="arial"/>
                            <w:b/>
                            <w:bCs/>
                            <w:i w:val="false"/>
                            <w:sz w:val="15"/>
                            <w:szCs w:val="15"/>
                          </w:rPr>
                          <w:t>2015–2020</w:t>
                        </w:r>
                      </w:p>
                      <w:p>
                        <w:pPr>
                          <w:spacing w:before="0" w:after="0" w:lineRule="auto" w:line="336"/>
                          <w:ind w:hanging="0"/>
                          <w:jc w:val="left"/>
                          <w:rPr>
                            <w:rFonts w:ascii="arial" w:eastAsia="arial" w:hAnsi="arial" w:cs="arial"/>
                            <w:b w:val="false"/>
                            <w:bCs w:val="false"/>
                            <w:i w:val="false"/>
                            <w:sz w:val="20"/>
                            <w:szCs w:val="20"/>
                          </w:rPr>
                        </w:pPr>
                        <w:r>
                          <w:rPr>
                            <w:rFonts w:ascii="arial" w:eastAsia="arial" w:hAnsi="arial" w:cs="arial"/>
                            <w:b w:val="false"/>
                            <w:bCs w:val="false"/>
                            <w:i w:val="false"/>
                            <w:sz w:val="20"/>
                            <w:szCs w:val="20"/>
                          </w:rPr>
                          <w:t>-3.2%</w:t>
                        </w:r>
                      </w:p>
                    </w:tc>
                    <w:tc>
                      <w:tcPr>
                        <w:tcW w:w="1250" w:type="pct"/>
                        <w:vAlign w:val="top"/>
                      </w:tcPr>
                      <w:p>
                        <w:pPr>
                          <w:spacing w:before="0" w:after="0" w:lineRule="auto" w:line="432"/>
                          <w:ind w:hanging="0"/>
                          <w:jc w:val="left"/>
                          <w:rPr>
                            <w:rFonts w:ascii="arial" w:eastAsia="arial" w:hAnsi="arial" w:cs="arial"/>
                            <w:b/>
                            <w:bCs/>
                            <w:i w:val="false"/>
                            <w:sz w:val="15"/>
                            <w:szCs w:val="15"/>
                          </w:rPr>
                        </w:pPr>
                        <w:r>
                          <w:rPr>
                            <w:rFonts w:ascii="arial" w:eastAsia="arial" w:hAnsi="arial" w:cs="arial"/>
                            <w:b/>
                            <w:bCs/>
                            <w:i w:val="false"/>
                            <w:sz w:val="15"/>
                            <w:szCs w:val="15"/>
                          </w:rPr>
                          <w:t xml:space="preserve">Annual Growth </w:t>
                        </w:r>
                        <w:r>
                          <w:br/>
                        </w:r>
                        <w:r>
                          <w:rPr>
                            <w:rFonts w:ascii="arial" w:eastAsia="arial" w:hAnsi="arial" w:cs="arial"/>
                            <w:b/>
                            <w:bCs/>
                            <w:i w:val="false"/>
                            <w:sz w:val="15"/>
                            <w:szCs w:val="15"/>
                          </w:rPr>
                          <w:t>2020–2025</w:t>
                        </w:r>
                      </w:p>
                      <w:p>
                        <w:pPr>
                          <w:spacing w:before="0" w:after="0" w:lineRule="auto" w:line="336"/>
                          <w:ind w:hanging="0"/>
                          <w:jc w:val="left"/>
                          <w:rPr>
                            <w:rFonts w:ascii="arial" w:eastAsia="arial" w:hAnsi="arial" w:cs="arial"/>
                            <w:b w:val="false"/>
                            <w:bCs w:val="false"/>
                            <w:i w:val="false"/>
                            <w:sz w:val="20"/>
                            <w:szCs w:val="20"/>
                          </w:rPr>
                        </w:pPr>
                        <w:r>
                          <w:rPr>
                            <w:rFonts w:ascii="arial" w:eastAsia="arial" w:hAnsi="arial" w:cs="arial"/>
                            <w:b w:val="false"/>
                            <w:bCs w:val="false"/>
                            <w:i w:val="false"/>
                            <w:sz w:val="20"/>
                            <w:szCs w:val="20"/>
                          </w:rPr>
                          <w:t>0.4%</w:t>
                        </w:r>
                      </w:p>
                    </w:tc>
                    <w:tc>
                      <w:tcPr>
                        <w:tcW w:w="2500" w:type="pct"/>
                        <w:vAlign w:val="top"/>
                      </w:tcPr>
                      <w:p>
                        <w:pPr>
                          <w:spacing w:before="0" w:after="0" w:lineRule="auto" w:line="432"/>
                          <w:ind w:hanging="0"/>
                          <w:jc w:val="left"/>
                          <w:rPr>
                            <w:rFonts w:ascii="arial" w:eastAsia="arial" w:hAnsi="arial" w:cs="arial"/>
                            <w:b/>
                            <w:bCs/>
                            <w:i w:val="false"/>
                            <w:sz w:val="15"/>
                            <w:szCs w:val="15"/>
                          </w:rPr>
                        </w:pPr>
                        <w:r>
                          <w:rPr>
                            <w:rFonts w:ascii="arial" w:eastAsia="arial" w:hAnsi="arial" w:cs="arial"/>
                            <w:b/>
                            <w:bCs/>
                            <w:i w:val="false"/>
                            <w:sz w:val="15"/>
                            <w:szCs w:val="15"/>
                          </w:rPr>
                          <w:t xml:space="preserve">Annual Growth </w:t>
                        </w:r>
                        <w:r>
                          <w:br/>
                        </w:r>
                        <w:r>
                          <w:rPr>
                            <w:rFonts w:ascii="arial" w:eastAsia="arial" w:hAnsi="arial" w:cs="arial"/>
                            <w:b/>
                            <w:bCs/>
                            <w:i w:val="false"/>
                            <w:sz w:val="15"/>
                            <w:szCs w:val="15"/>
                          </w:rPr>
                          <w:t>2015–2025</w:t>
                        </w:r>
                      </w:p>
                      <w:p>
                        <w:pPr>
                          <w:spacing w:before="0" w:after="0" w:lineRule="atLeast" w:line="225"/>
                          <w:ind w:hanging="0"/>
                          <w:jc w:val="left"/>
                          <w:rPr>
                            <w:rFonts w:ascii="arial" w:eastAsia="arial" w:hAnsi="arial" w:cs="arial"/>
                            <w:b w:val="false"/>
                            <w:bCs w:val="false"/>
                            <w:i w:val="false"/>
                            <w:sz w:val="16"/>
                            <w:szCs w:val="16"/>
                          </w:rPr>
                        </w:pPr>
                        <w:r>
                          <w:drawing>
                            <wp:inline>
                              <wp:extent cx="1428750" cy="259773"/>
                              <wp:docPr id="41" name="Picture 41"/>
                              <a:graphic xmlns:a="http://schemas.openxmlformats.org/drawingml/2006/main">
                                <a:graphicData uri="http://schemas.openxmlformats.org/drawingml/2006/picture">
                                  <pic:pic xmlns:pic="http://schemas.openxmlformats.org/drawingml/2006/picture">
                                    <pic:nvPicPr>
                                      <pic:cNvPr id="42" name="Picture 42"/>
                                      <pic:cNvPicPr/>
                                    </pic:nvPicPr>
                                    <pic:blipFill>
                                      <a:blip r:embed="PictureId19" cstate="print"/>
                                      <a:stretch>
                                        <a:fillRect/>
                                      </a:stretch>
                                    </pic:blipFill>
                                    <pic:spPr>
                                      <a:xfrm>
                                        <a:off x="0" y="0"/>
                                        <a:ext cx="1428750" cy="259773"/>
                                      </a:xfrm>
                                      <a:prstGeom prst="rect">
                                        <a:avLst/>
                                      </a:prstGeom>
                                    </pic:spPr>
                                  </pic:pic>
                                </a:graphicData>
                              </a:graphic>
                            </wp:inline>
                          </w:drawing>
                        </w:r>
                      </w:p>
                    </w:tc>
                  </w:tr>
                </w:tbl>
                <w:p>
                  <w:pPr/>
                </w:p>
              </w:tc>
              <w:tc>
                <w:tcPr>
                  <w:tcW w:w="2500" w:type="pct"/>
                  <w:tcBorders>
                    <w:left w:val="single" w:sz="9" w:color="D8DDEA"/>
                  </w:tcBorders>
                  <w:vAlign w:val="top"/>
                </w:tcPr>
                <w:tbl>
                  <w:tblPr>
                    <w:jc w:val="left"/>
                    <w:tblCellSpacing w:w="30" w:type="dxa"/>
                    <w:tblInd w:w="0" w:type="dxa"/>
                    <w:tblBorders>
                      <w:top w:val="nil"/>
                      <w:left w:val="nil"/>
                      <w:bottom w:val="nil"/>
                      <w:right w:val="nil"/>
                      <w:insideH w:val="nil"/>
                      <w:insideV w:val="nil"/>
                    </w:tblBorders>
                  </w:tblPr>
                  <w:tr>
                    <w:tc>
                      <w:tcPr>
                        <w:tcW w:w="2500" w:type="pct"/>
                        <w:vAlign w:val="top"/>
                      </w:tcPr>
                      <w:p>
                        <w:pPr>
                          <w:spacing w:before="0" w:after="0" w:lineRule="atLeast" w:line="270"/>
                          <w:ind w:hanging="0"/>
                          <w:jc w:val="left"/>
                          <w:rPr>
                            <w:rFonts w:ascii="arial" w:eastAsia="arial" w:hAnsi="arial" w:cs="arial"/>
                            <w:b/>
                            <w:bCs/>
                            <w:i w:val="false"/>
                            <w:color w:val="333333"/>
                            <w:spacing w:val="4"/>
                            <w:sz w:val="21"/>
                            <w:szCs w:val="21"/>
                          </w:rPr>
                        </w:pPr>
                        <w:r>
                          <w:rPr>
                            <w:rFonts w:ascii="arial" w:eastAsia="arial" w:hAnsi="arial" w:cs="arial"/>
                            <w:b/>
                            <w:bCs/>
                            <w:i w:val="false"/>
                            <w:color w:val="333333"/>
                            <w:spacing w:val="4"/>
                            <w:sz w:val="21"/>
                            <w:szCs w:val="21"/>
                          </w:rPr>
                          <w:t>Key External Drivers</w:t>
                        </w:r>
                      </w:p>
                    </w:tc>
                    <w:tc>
                      <w:tcPr>
                        <w:tcW w:w="2500" w:type="pct"/>
                        <w:vAlign w:val="top"/>
                      </w:tcPr>
                      <w:p>
                        <w:pPr>
                          <w:spacing w:before="0" w:after="0" w:lineRule="atLeast" w:line="270"/>
                          <w:ind w:hanging="0"/>
                          <w:jc w:val="right"/>
                          <w:rPr>
                            <w:rFonts w:ascii="arial" w:eastAsia="arial" w:hAnsi="arial" w:cs="arial"/>
                            <w:b/>
                            <w:bCs/>
                            <w:i w:val="false"/>
                            <w:color w:val="333333"/>
                            <w:spacing w:val="4"/>
                            <w:sz w:val="21"/>
                            <w:szCs w:val="21"/>
                          </w:rPr>
                        </w:pPr>
                        <w:r>
                          <w:rPr>
                            <w:rFonts w:ascii="arial" w:eastAsia="arial" w:hAnsi="arial" w:cs="arial"/>
                            <w:b w:val="false"/>
                            <w:bCs w:val="false"/>
                            <w:i w:val="false"/>
                            <w:color w:val="7F7F89"/>
                            <w:spacing w:val="4"/>
                            <w:sz w:val="12"/>
                            <w:szCs w:val="12"/>
                          </w:rPr>
                          <w:t>% = 2015–20 Annual Growth</w:t>
                        </w:r>
                      </w:p>
                    </w:tc>
                  </w:tr>
                </w:tbl>
                <w:p>
                  <w:pPr>
                    <w:spacing w:before="0" w:after="0" w:lineRule="atLeast" w:line="225"/>
                    <w:ind w:hanging="0"/>
                    <w:jc w:val="left"/>
                    <w:rPr>
                      <w:rFonts w:ascii="arial" w:eastAsia="arial" w:hAnsi="arial" w:cs="arial"/>
                      <w:b w:val="false"/>
                      <w:bCs w:val="false"/>
                      <w:i w:val="false"/>
                      <w:sz w:val="16"/>
                      <w:szCs w:val="16"/>
                    </w:rPr>
                  </w:pPr>
                </w:p>
                <w:tbl>
                  <w:tblPr>
                    <w:jc w:val="left"/>
                    <w:tblCellSpacing w:w="30" w:type="dxa"/>
                    <w:tblBorders>
                      <w:top w:val="nil"/>
                      <w:left w:val="nil"/>
                      <w:bottom w:val="nil"/>
                      <w:right w:val="nil"/>
                      <w:insideH w:val="nil"/>
                      <w:insideV w:val="nil"/>
                    </w:tblBorders>
                  </w:tblPr>
                  <w:tr>
                    <w:tc>
                      <w:tcPr>
                        <w:tcW w:w="2500" w:type="pct"/>
                        <w:vAlign w:val="top"/>
                      </w:tcPr>
                      <w:p>
                        <w:pPr>
                          <w:spacing w:before="0" w:after="0" w:lineRule="atLeast" w:line="240"/>
                          <w:ind w:hanging="0"/>
                          <w:jc w:val="left"/>
                          <w:rPr>
                            <w:rFonts w:ascii="arial" w:eastAsia="arial" w:hAnsi="arial" w:cs="arial"/>
                            <w:b/>
                            <w:bCs/>
                            <w:i w:val="false"/>
                            <w:color w:val="002F65"/>
                            <w:spacing w:val="4"/>
                            <w:sz w:val="21"/>
                            <w:szCs w:val="21"/>
                          </w:rPr>
                        </w:pPr>
                        <w:r>
                          <w:rPr>
                            <w:rFonts w:ascii="arial" w:eastAsia="arial" w:hAnsi="arial" w:cs="arial"/>
                            <w:b/>
                            <w:bCs/>
                            <w:i w:val="false"/>
                            <w:color w:val="002F65"/>
                            <w:spacing w:val="4"/>
                            <w:sz w:val="21"/>
                            <w:szCs w:val="21"/>
                          </w:rPr>
                          <w:t>3.0%</w:t>
                        </w:r>
                      </w:p>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National unemployment rate</w:t>
                        </w:r>
                      </w:p>
                    </w:tc>
                    <w:tc>
                      <w:tcPr>
                        <w:tcW w:w="2500" w:type="pct"/>
                        <w:vAlign w:val="top"/>
                      </w:tcPr>
                      <w:p>
                        <w:pPr>
                          <w:spacing w:before="0" w:after="0" w:lineRule="atLeast" w:line="240"/>
                          <w:ind w:hanging="0"/>
                          <w:jc w:val="left"/>
                          <w:rPr>
                            <w:rFonts w:ascii="arial" w:eastAsia="arial" w:hAnsi="arial" w:cs="arial"/>
                            <w:b/>
                            <w:bCs/>
                            <w:i w:val="false"/>
                            <w:color w:val="002F65"/>
                            <w:spacing w:val="4"/>
                            <w:sz w:val="21"/>
                            <w:szCs w:val="21"/>
                          </w:rPr>
                        </w:pPr>
                        <w:r>
                          <w:rPr>
                            <w:rFonts w:ascii="arial" w:eastAsia="arial" w:hAnsi="arial" w:cs="arial"/>
                            <w:b/>
                            <w:bCs/>
                            <w:i w:val="false"/>
                            <w:color w:val="002F65"/>
                            <w:spacing w:val="4"/>
                            <w:sz w:val="21"/>
                            <w:szCs w:val="21"/>
                          </w:rPr>
                          <w:t>0.8%</w:t>
                        </w:r>
                      </w:p>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Consumer confidence index</w:t>
                        </w:r>
                      </w:p>
                    </w:tc>
                  </w:tr>
                  <w:tr>
                    <w:tc>
                      <w:tcPr>
                        <w:tcW w:w="2500" w:type="pct"/>
                        <w:vAlign w:val="top"/>
                      </w:tcPr>
                      <w:p>
                        <w:pPr>
                          <w:spacing w:before="0" w:after="0" w:lineRule="atLeast" w:line="240"/>
                          <w:ind w:hanging="0"/>
                          <w:jc w:val="left"/>
                          <w:rPr>
                            <w:rFonts w:ascii="arial" w:eastAsia="arial" w:hAnsi="arial" w:cs="arial"/>
                            <w:b/>
                            <w:bCs/>
                            <w:i w:val="false"/>
                            <w:color w:val="002F65"/>
                            <w:spacing w:val="4"/>
                            <w:sz w:val="21"/>
                            <w:szCs w:val="21"/>
                          </w:rPr>
                        </w:pPr>
                        <w:r>
                          <w:rPr>
                            <w:rFonts w:ascii="arial" w:eastAsia="arial" w:hAnsi="arial" w:cs="arial"/>
                            <w:b/>
                            <w:bCs/>
                            <w:i w:val="false"/>
                            <w:color w:val="002F65"/>
                            <w:spacing w:val="4"/>
                            <w:sz w:val="21"/>
                            <w:szCs w:val="21"/>
                          </w:rPr>
                          <w:t>2.8%</w:t>
                        </w:r>
                      </w:p>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Per capita disposable income</w:t>
                        </w:r>
                      </w:p>
                    </w:tc>
                    <w:tc>
                      <w:tcPr>
                        <w:tcW w:w="2500" w:type="pct"/>
                        <w:vAlign w:val="top"/>
                      </w:tcPr>
                      <w:p>
                        <w:pPr>
                          <w:spacing w:before="0" w:after="0" w:lineRule="atLeast" w:line="240"/>
                          <w:ind w:hanging="0"/>
                          <w:jc w:val="left"/>
                          <w:rPr>
                            <w:rFonts w:ascii="arial" w:eastAsia="arial" w:hAnsi="arial" w:cs="arial"/>
                            <w:b/>
                            <w:bCs/>
                            <w:i w:val="false"/>
                            <w:color w:val="002F65"/>
                            <w:spacing w:val="4"/>
                            <w:sz w:val="21"/>
                            <w:szCs w:val="21"/>
                          </w:rPr>
                        </w:pPr>
                        <w:r>
                          <w:rPr>
                            <w:rFonts w:ascii="arial" w:eastAsia="arial" w:hAnsi="arial" w:cs="arial"/>
                            <w:b/>
                            <w:bCs/>
                            <w:i w:val="false"/>
                            <w:color w:val="002F65"/>
                            <w:spacing w:val="4"/>
                            <w:sz w:val="21"/>
                            <w:szCs w:val="21"/>
                          </w:rPr>
                          <w:t>3.1%</w:t>
                        </w:r>
                      </w:p>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Households earning more than $100,000</w:t>
                        </w:r>
                      </w:p>
                    </w:tc>
                  </w:tr>
                  <w:tr>
                    <w:tc>
                      <w:tcPr>
                        <w:tcW w:w="2500" w:type="pct"/>
                        <w:vAlign w:val="top"/>
                      </w:tcPr>
                      <w:p>
                        <w:pPr>
                          <w:spacing w:before="0" w:after="0" w:lineRule="atLeast" w:line="240"/>
                          <w:ind w:hanging="0"/>
                          <w:jc w:val="left"/>
                          <w:rPr>
                            <w:rFonts w:ascii="arial" w:eastAsia="arial" w:hAnsi="arial" w:cs="arial"/>
                            <w:b/>
                            <w:bCs/>
                            <w:i w:val="false"/>
                            <w:color w:val="002F65"/>
                            <w:spacing w:val="4"/>
                            <w:sz w:val="21"/>
                            <w:szCs w:val="21"/>
                          </w:rPr>
                        </w:pPr>
                        <w:r>
                          <w:rPr>
                            <w:rFonts w:ascii="arial" w:eastAsia="arial" w:hAnsi="arial" w:cs="arial"/>
                            <w:b/>
                            <w:bCs/>
                            <w:i w:val="false"/>
                            <w:color w:val="002F65"/>
                            <w:spacing w:val="4"/>
                            <w:sz w:val="21"/>
                            <w:szCs w:val="21"/>
                          </w:rPr>
                          <w:t>8.2%</w:t>
                        </w:r>
                      </w:p>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Percentage of business conducted online</w:t>
                        </w:r>
                      </w:p>
                    </w:tc>
                    <w:tc>
                      <w:tcPr>
                        <w:tcW w:w="2500" w:type="pct"/>
                        <w:vAlign w:val="top"/>
                      </w:tcPr>
                      <w:p>
                        <w:pPr/>
                      </w:p>
                    </w:tc>
                  </w:tr>
                </w:tbl>
                <w:p>
                  <w:pPr>
                    <w:pBdr>
                      <w:top w:val="single" w:sz="9" w:color="D8DDEA"/>
                    </w:pBd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p>
                  <w:pPr>
                    <w:spacing w:before="0" w:after="0" w:lineRule="atLeast" w:line="270"/>
                    <w:ind w:left="60" w:right="0" w:hanging="0"/>
                    <w:jc w:val="left"/>
                    <w:rPr>
                      <w:rFonts w:ascii="arial" w:eastAsia="arial" w:hAnsi="arial" w:cs="arial"/>
                      <w:b/>
                      <w:bCs/>
                      <w:i w:val="false"/>
                      <w:color w:val="333333"/>
                      <w:spacing w:val="4"/>
                      <w:sz w:val="21"/>
                      <w:szCs w:val="21"/>
                    </w:rPr>
                  </w:pPr>
                  <w:r>
                    <w:rPr>
                      <w:rFonts w:ascii="arial" w:eastAsia="arial" w:hAnsi="arial" w:cs="arial"/>
                      <w:b/>
                      <w:bCs/>
                      <w:i w:val="false"/>
                      <w:color w:val="333333"/>
                      <w:spacing w:val="4"/>
                      <w:sz w:val="21"/>
                      <w:szCs w:val="21"/>
                    </w:rPr>
                    <w:t>Industry Structure</w:t>
                  </w:r>
                </w:p>
                <w:p>
                  <w:pPr>
                    <w:spacing w:before="0" w:after="0" w:lineRule="atLeast" w:line="225"/>
                    <w:ind w:hanging="0"/>
                    <w:jc w:val="left"/>
                    <w:rPr>
                      <w:rFonts w:ascii="arial" w:eastAsia="arial" w:hAnsi="arial" w:cs="arial"/>
                      <w:b w:val="false"/>
                      <w:bCs w:val="false"/>
                      <w:i w:val="false"/>
                      <w:sz w:val="16"/>
                      <w:szCs w:val="16"/>
                    </w:rPr>
                  </w:pPr>
                </w:p>
                <w:tbl>
                  <w:tblPr>
                    <w:jc w:val="left"/>
                    <w:tblCellSpacing w:w="30" w:type="dxa"/>
                    <w:tblBorders>
                      <w:top w:val="nil"/>
                      <w:left w:val="nil"/>
                      <w:bottom w:val="nil"/>
                      <w:right w:val="nil"/>
                      <w:insideH w:val="nil"/>
                      <w:insideV w:val="nil"/>
                    </w:tblBorders>
                  </w:tblP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drawing>
                            <wp:inline>
                              <wp:extent cx="171450" cy="161925"/>
                              <wp:docPr id="43" name="Picture 43" descr="Positive Impact"/>
                              <a:graphic xmlns:a="http://schemas.openxmlformats.org/drawingml/2006/main">
                                <a:graphicData uri="http://schemas.openxmlformats.org/drawingml/2006/picture">
                                  <pic:pic xmlns:pic="http://schemas.openxmlformats.org/drawingml/2006/picture">
                                    <pic:nvPicPr>
                                      <pic:cNvPr id="44" name="Picture 44"/>
                                      <pic:cNvPicPr/>
                                    </pic:nvPicPr>
                                    <pic:blipFill>
                                      <a:blip r:embed="PictureId20" cstate="print"/>
                                      <a:stretch>
                                        <a:fillRect/>
                                      </a:stretch>
                                    </pic:blipFill>
                                    <pic:spPr>
                                      <a:xfrm>
                                        <a:off x="0" y="0"/>
                                        <a:ext cx="171450" cy="161925"/>
                                      </a:xfrm>
                                      <a:prstGeom prst="rect">
                                        <a:avLst/>
                                      </a:prstGeom>
                                    </pic:spPr>
                                  </pic:pic>
                                </a:graphicData>
                              </a:graphic>
                            </wp:inline>
                          </w:drawing>
                        </w:r>
                      </w:p>
                    </w:tc>
                    <w:tc>
                      <w:tcPr>
                        <w:tcW w:w="2500" w:type="pct"/>
                        <w:vAlign w:val="center"/>
                      </w:tcPr>
                      <w:p>
                        <w:pPr>
                          <w:spacing w:before="0" w:after="0" w:lineRule="atLeast" w:line="240"/>
                          <w:ind w:hanging="0"/>
                          <w:jc w:val="left"/>
                          <w:rPr>
                            <w:rFonts w:ascii="arial" w:eastAsia="arial" w:hAnsi="arial" w:cs="arial"/>
                            <w:b w:val="false"/>
                            <w:bCs w:val="false"/>
                            <w:i w:val="false"/>
                            <w:sz w:val="16"/>
                            <w:szCs w:val="16"/>
                          </w:rPr>
                        </w:pPr>
                        <w:r>
                          <w:rPr>
                            <w:rFonts w:ascii="arial" w:eastAsia="arial" w:hAnsi="arial" w:cs="arial"/>
                            <w:b/>
                            <w:bCs/>
                            <w:i w:val="false"/>
                            <w:caps/>
                            <w:color w:val="086D06"/>
                            <w:sz w:val="18"/>
                            <w:szCs w:val="18"/>
                          </w:rPr>
                          <w:t>Positive Impact</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Capital Intensity </w:t>
                        </w:r>
                      </w:p>
                      <w:p>
                        <w:pPr>
                          <w:spacing w:before="0" w:after="0" w:lineRule="atLeast" w:line="225"/>
                          <w:ind w:hanging="0"/>
                          <w:jc w:val="left"/>
                          <w:rPr>
                            <w:rFonts w:ascii="arial" w:eastAsia="arial" w:hAnsi="arial" w:cs="arial"/>
                            <w:b w:val="false"/>
                            <w:bCs w:val="false"/>
                            <w:i w:val="false"/>
                            <w:color w:val="086D06"/>
                            <w:sz w:val="16"/>
                            <w:szCs w:val="16"/>
                          </w:rPr>
                        </w:pPr>
                        <w:r>
                          <w:rPr>
                            <w:rFonts w:ascii="arial" w:eastAsia="arial" w:hAnsi="arial" w:cs="arial"/>
                            <w:b w:val="false"/>
                            <w:bCs w:val="false"/>
                            <w:i w:val="false"/>
                            <w:color w:val="086D06"/>
                            <w:sz w:val="16"/>
                            <w:szCs w:val="16"/>
                          </w:rPr>
                          <w:t>Low</w:t>
                        </w:r>
                      </w:p>
                    </w:tc>
                    <w:tc>
                      <w:tcPr>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Concentration </w:t>
                        </w:r>
                      </w:p>
                      <w:p>
                        <w:pPr>
                          <w:spacing w:before="0" w:after="0" w:lineRule="atLeast" w:line="225"/>
                          <w:ind w:hanging="0"/>
                          <w:jc w:val="left"/>
                          <w:rPr>
                            <w:rFonts w:ascii="arial" w:eastAsia="arial" w:hAnsi="arial" w:cs="arial"/>
                            <w:b w:val="false"/>
                            <w:bCs w:val="false"/>
                            <w:i w:val="false"/>
                            <w:color w:val="086D06"/>
                            <w:sz w:val="16"/>
                            <w:szCs w:val="16"/>
                          </w:rPr>
                        </w:pPr>
                        <w:r>
                          <w:rPr>
                            <w:rFonts w:ascii="arial" w:eastAsia="arial" w:hAnsi="arial" w:cs="arial"/>
                            <w:b w:val="false"/>
                            <w:bCs w:val="false"/>
                            <w:i w:val="false"/>
                            <w:color w:val="086D06"/>
                            <w:sz w:val="16"/>
                            <w:szCs w:val="16"/>
                          </w:rPr>
                          <w:t>Low</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Industry Globalization </w:t>
                        </w:r>
                      </w:p>
                      <w:p>
                        <w:pPr>
                          <w:spacing w:before="0" w:after="0" w:lineRule="atLeast" w:line="225"/>
                          <w:ind w:hanging="0"/>
                          <w:jc w:val="left"/>
                          <w:rPr>
                            <w:rFonts w:ascii="arial" w:eastAsia="arial" w:hAnsi="arial" w:cs="arial"/>
                            <w:b w:val="false"/>
                            <w:bCs w:val="false"/>
                            <w:i w:val="false"/>
                            <w:color w:val="086D06"/>
                            <w:sz w:val="16"/>
                            <w:szCs w:val="16"/>
                          </w:rPr>
                        </w:pPr>
                        <w:r>
                          <w:rPr>
                            <w:rFonts w:ascii="arial" w:eastAsia="arial" w:hAnsi="arial" w:cs="arial"/>
                            <w:b w:val="false"/>
                            <w:bCs w:val="false"/>
                            <w:i w:val="false"/>
                            <w:color w:val="086D06"/>
                            <w:sz w:val="16"/>
                            <w:szCs w:val="16"/>
                          </w:rPr>
                          <w:t>Low / Increasing</w:t>
                        </w:r>
                      </w:p>
                    </w:tc>
                  </w:tr>
                  <w:tr>
                    <w:tc>
                      <w:p>
                        <w:pP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drawing>
                            <wp:inline>
                              <wp:extent cx="171450" cy="161925"/>
                              <wp:docPr id="45" name="Picture 45" descr="Mixed Impact"/>
                              <a:graphic xmlns:a="http://schemas.openxmlformats.org/drawingml/2006/main">
                                <a:graphicData uri="http://schemas.openxmlformats.org/drawingml/2006/picture">
                                  <pic:pic xmlns:pic="http://schemas.openxmlformats.org/drawingml/2006/picture">
                                    <pic:nvPicPr>
                                      <pic:cNvPr id="46" name="Picture 46"/>
                                      <pic:cNvPicPr/>
                                    </pic:nvPicPr>
                                    <pic:blipFill>
                                      <a:blip r:embed="PictureId21" cstate="print"/>
                                      <a:stretch>
                                        <a:fillRect/>
                                      </a:stretch>
                                    </pic:blipFill>
                                    <pic:spPr>
                                      <a:xfrm>
                                        <a:off x="0" y="0"/>
                                        <a:ext cx="171450" cy="161925"/>
                                      </a:xfrm>
                                      <a:prstGeom prst="rect">
                                        <a:avLst/>
                                      </a:prstGeom>
                                    </pic:spPr>
                                  </pic:pic>
                                </a:graphicData>
                              </a:graphic>
                            </wp:inline>
                          </w:drawing>
                        </w:r>
                      </w:p>
                    </w:tc>
                    <w:tc>
                      <w:tcPr>
                        <w:tcW w:w="2500" w:type="pct"/>
                        <w:vAlign w:val="center"/>
                      </w:tcPr>
                      <w:p>
                        <w:pPr>
                          <w:spacing w:before="0" w:after="0" w:lineRule="atLeast" w:line="240"/>
                          <w:ind w:hanging="0"/>
                          <w:jc w:val="left"/>
                          <w:rPr>
                            <w:rFonts w:ascii="arial" w:eastAsia="arial" w:hAnsi="arial" w:cs="arial"/>
                            <w:b w:val="false"/>
                            <w:bCs w:val="false"/>
                            <w:i w:val="false"/>
                            <w:sz w:val="16"/>
                            <w:szCs w:val="16"/>
                          </w:rPr>
                        </w:pPr>
                        <w:r>
                          <w:rPr>
                            <w:rFonts w:ascii="arial" w:eastAsia="arial" w:hAnsi="arial" w:cs="arial"/>
                            <w:b/>
                            <w:bCs/>
                            <w:i w:val="false"/>
                            <w:caps/>
                            <w:color w:val="F58232"/>
                            <w:sz w:val="18"/>
                            <w:szCs w:val="18"/>
                          </w:rPr>
                          <w:t>Mixed Impact</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Life Cycle </w:t>
                        </w:r>
                      </w:p>
                      <w:p>
                        <w:pPr>
                          <w:spacing w:before="0" w:after="0" w:lineRule="atLeast" w:line="225"/>
                          <w:ind w:hanging="0"/>
                          <w:jc w:val="left"/>
                          <w:rPr>
                            <w:rFonts w:ascii="arial" w:eastAsia="arial" w:hAnsi="arial" w:cs="arial"/>
                            <w:b w:val="false"/>
                            <w:bCs w:val="false"/>
                            <w:i w:val="false"/>
                            <w:color w:val="F58232"/>
                            <w:sz w:val="16"/>
                            <w:szCs w:val="16"/>
                          </w:rPr>
                        </w:pPr>
                        <w:r>
                          <w:rPr>
                            <w:rFonts w:ascii="arial" w:eastAsia="arial" w:hAnsi="arial" w:cs="arial"/>
                            <w:b w:val="false"/>
                            <w:bCs w:val="false"/>
                            <w:i w:val="false"/>
                            <w:color w:val="F58232"/>
                            <w:sz w:val="16"/>
                            <w:szCs w:val="16"/>
                          </w:rPr>
                          <w:t>Mature</w:t>
                        </w:r>
                      </w:p>
                    </w:tc>
                    <w:tc>
                      <w:tcPr>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Revenue Volatility </w:t>
                        </w:r>
                      </w:p>
                      <w:p>
                        <w:pPr>
                          <w:spacing w:before="0" w:after="0" w:lineRule="atLeast" w:line="225"/>
                          <w:ind w:hanging="0"/>
                          <w:jc w:val="left"/>
                          <w:rPr>
                            <w:rFonts w:ascii="arial" w:eastAsia="arial" w:hAnsi="arial" w:cs="arial"/>
                            <w:b w:val="false"/>
                            <w:bCs w:val="false"/>
                            <w:i w:val="false"/>
                            <w:color w:val="F58232"/>
                            <w:sz w:val="16"/>
                            <w:szCs w:val="16"/>
                          </w:rPr>
                        </w:pPr>
                        <w:r>
                          <w:rPr>
                            <w:rFonts w:ascii="arial" w:eastAsia="arial" w:hAnsi="arial" w:cs="arial"/>
                            <w:b w:val="false"/>
                            <w:bCs w:val="false"/>
                            <w:i w:val="false"/>
                            <w:color w:val="F58232"/>
                            <w:sz w:val="16"/>
                            <w:szCs w:val="16"/>
                          </w:rPr>
                          <w:t>Medium</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Regulation &amp; Policy </w:t>
                        </w:r>
                      </w:p>
                      <w:p>
                        <w:pPr>
                          <w:spacing w:before="0" w:after="0" w:lineRule="atLeast" w:line="225"/>
                          <w:ind w:hanging="0"/>
                          <w:jc w:val="left"/>
                          <w:rPr>
                            <w:rFonts w:ascii="arial" w:eastAsia="arial" w:hAnsi="arial" w:cs="arial"/>
                            <w:b w:val="false"/>
                            <w:bCs w:val="false"/>
                            <w:i w:val="false"/>
                            <w:color w:val="F58232"/>
                            <w:sz w:val="16"/>
                            <w:szCs w:val="16"/>
                          </w:rPr>
                        </w:pPr>
                        <w:r>
                          <w:rPr>
                            <w:rFonts w:ascii="arial" w:eastAsia="arial" w:hAnsi="arial" w:cs="arial"/>
                            <w:b w:val="false"/>
                            <w:bCs w:val="false"/>
                            <w:i w:val="false"/>
                            <w:color w:val="F58232"/>
                            <w:sz w:val="16"/>
                            <w:szCs w:val="16"/>
                          </w:rPr>
                          <w:t>Medium / Steady</w:t>
                        </w:r>
                      </w:p>
                    </w:tc>
                    <w:tc>
                      <w:tcPr>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Technology Change </w:t>
                        </w:r>
                      </w:p>
                      <w:p>
                        <w:pPr>
                          <w:spacing w:before="0" w:after="0" w:lineRule="atLeast" w:line="225"/>
                          <w:ind w:hanging="0"/>
                          <w:jc w:val="left"/>
                          <w:rPr>
                            <w:rFonts w:ascii="arial" w:eastAsia="arial" w:hAnsi="arial" w:cs="arial"/>
                            <w:b w:val="false"/>
                            <w:bCs w:val="false"/>
                            <w:i w:val="false"/>
                            <w:color w:val="F58232"/>
                            <w:sz w:val="16"/>
                            <w:szCs w:val="16"/>
                          </w:rPr>
                        </w:pPr>
                        <w:r>
                          <w:rPr>
                            <w:rFonts w:ascii="arial" w:eastAsia="arial" w:hAnsi="arial" w:cs="arial"/>
                            <w:b w:val="false"/>
                            <w:bCs w:val="false"/>
                            <w:i w:val="false"/>
                            <w:color w:val="F58232"/>
                            <w:sz w:val="16"/>
                            <w:szCs w:val="16"/>
                          </w:rPr>
                          <w:t>Medium</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Barriers to Entry </w:t>
                        </w:r>
                      </w:p>
                      <w:p>
                        <w:pPr>
                          <w:spacing w:before="0" w:after="0" w:lineRule="atLeast" w:line="225"/>
                          <w:ind w:hanging="0"/>
                          <w:jc w:val="left"/>
                          <w:rPr>
                            <w:rFonts w:ascii="arial" w:eastAsia="arial" w:hAnsi="arial" w:cs="arial"/>
                            <w:b w:val="false"/>
                            <w:bCs w:val="false"/>
                            <w:i w:val="false"/>
                            <w:color w:val="F58232"/>
                            <w:sz w:val="16"/>
                            <w:szCs w:val="16"/>
                          </w:rPr>
                        </w:pPr>
                        <w:r>
                          <w:rPr>
                            <w:rFonts w:ascii="arial" w:eastAsia="arial" w:hAnsi="arial" w:cs="arial"/>
                            <w:b w:val="false"/>
                            <w:bCs w:val="false"/>
                            <w:i w:val="false"/>
                            <w:color w:val="F58232"/>
                            <w:sz w:val="16"/>
                            <w:szCs w:val="16"/>
                          </w:rPr>
                          <w:t>Medium / Steady</w:t>
                        </w:r>
                      </w:p>
                    </w:tc>
                  </w:tr>
                  <w:tr>
                    <w:tc>
                      <w:p>
                        <w:pP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drawing>
                            <wp:inline>
                              <wp:extent cx="171450" cy="161925"/>
                              <wp:docPr id="47" name="Picture 47" descr="Negative Impact"/>
                              <a:graphic xmlns:a="http://schemas.openxmlformats.org/drawingml/2006/main">
                                <a:graphicData uri="http://schemas.openxmlformats.org/drawingml/2006/picture">
                                  <pic:pic xmlns:pic="http://schemas.openxmlformats.org/drawingml/2006/picture">
                                    <pic:nvPicPr>
                                      <pic:cNvPr id="48" name="Picture 48"/>
                                      <pic:cNvPicPr/>
                                    </pic:nvPicPr>
                                    <pic:blipFill>
                                      <a:blip r:embed="PictureId22" cstate="print"/>
                                      <a:stretch>
                                        <a:fillRect/>
                                      </a:stretch>
                                    </pic:blipFill>
                                    <pic:spPr>
                                      <a:xfrm>
                                        <a:off x="0" y="0"/>
                                        <a:ext cx="171450" cy="161925"/>
                                      </a:xfrm>
                                      <a:prstGeom prst="rect">
                                        <a:avLst/>
                                      </a:prstGeom>
                                    </pic:spPr>
                                  </pic:pic>
                                </a:graphicData>
                              </a:graphic>
                            </wp:inline>
                          </w:drawing>
                        </w:r>
                      </w:p>
                    </w:tc>
                    <w:tc>
                      <w:tcPr>
                        <w:tcW w:w="2500" w:type="pct"/>
                        <w:vAlign w:val="center"/>
                      </w:tcPr>
                      <w:p>
                        <w:pPr>
                          <w:spacing w:before="0" w:after="0" w:lineRule="atLeast" w:line="240"/>
                          <w:ind w:hanging="0"/>
                          <w:jc w:val="left"/>
                          <w:rPr>
                            <w:rFonts w:ascii="arial" w:eastAsia="arial" w:hAnsi="arial" w:cs="arial"/>
                            <w:b w:val="false"/>
                            <w:bCs w:val="false"/>
                            <w:i w:val="false"/>
                            <w:sz w:val="16"/>
                            <w:szCs w:val="16"/>
                          </w:rPr>
                        </w:pPr>
                        <w:r>
                          <w:rPr>
                            <w:rFonts w:ascii="arial" w:eastAsia="arial" w:hAnsi="arial" w:cs="arial"/>
                            <w:b/>
                            <w:bCs/>
                            <w:i w:val="false"/>
                            <w:caps/>
                            <w:color w:val="DB1F2C"/>
                            <w:sz w:val="18"/>
                            <w:szCs w:val="18"/>
                          </w:rPr>
                          <w:t>Negative Impact</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Industry Assistance </w:t>
                        </w:r>
                      </w:p>
                      <w:p>
                        <w:pPr>
                          <w:spacing w:before="0" w:after="0" w:lineRule="atLeast" w:line="225"/>
                          <w:ind w:hanging="0"/>
                          <w:jc w:val="left"/>
                          <w:rPr>
                            <w:rFonts w:ascii="arial" w:eastAsia="arial" w:hAnsi="arial" w:cs="arial"/>
                            <w:b w:val="false"/>
                            <w:bCs w:val="false"/>
                            <w:i w:val="false"/>
                            <w:color w:val="DB1F2C"/>
                            <w:sz w:val="16"/>
                            <w:szCs w:val="16"/>
                          </w:rPr>
                        </w:pPr>
                        <w:r>
                          <w:rPr>
                            <w:rFonts w:ascii="arial" w:eastAsia="arial" w:hAnsi="arial" w:cs="arial"/>
                            <w:b w:val="false"/>
                            <w:bCs w:val="false"/>
                            <w:i w:val="false"/>
                            <w:color w:val="DB1F2C"/>
                            <w:sz w:val="16"/>
                            <w:szCs w:val="16"/>
                          </w:rPr>
                          <w:t>Low / Steady</w:t>
                        </w:r>
                      </w:p>
                    </w:tc>
                    <w:tc>
                      <w:tcPr>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Competition </w:t>
                        </w:r>
                      </w:p>
                      <w:p>
                        <w:pPr>
                          <w:spacing w:before="0" w:after="0" w:lineRule="atLeast" w:line="225"/>
                          <w:ind w:hanging="0"/>
                          <w:jc w:val="left"/>
                          <w:rPr>
                            <w:rFonts w:ascii="arial" w:eastAsia="arial" w:hAnsi="arial" w:cs="arial"/>
                            <w:b w:val="false"/>
                            <w:bCs w:val="false"/>
                            <w:i w:val="false"/>
                            <w:color w:val="DB1F2C"/>
                            <w:sz w:val="16"/>
                            <w:szCs w:val="16"/>
                          </w:rPr>
                        </w:pPr>
                        <w:r>
                          <w:rPr>
                            <w:rFonts w:ascii="arial" w:eastAsia="arial" w:hAnsi="arial" w:cs="arial"/>
                            <w:b w:val="false"/>
                            <w:bCs w:val="false"/>
                            <w:i w:val="false"/>
                            <w:color w:val="DB1F2C"/>
                            <w:sz w:val="16"/>
                            <w:szCs w:val="16"/>
                          </w:rPr>
                          <w:t>High / Steady</w:t>
                        </w:r>
                      </w:p>
                    </w:tc>
                  </w:tr>
                  <w:tr>
                    <w:tc>
                      <w:p>
                        <w:pPr/>
                      </w:p>
                    </w:tc>
                  </w:tr>
                </w:tbl>
                <w:p>
                  <w:pPr>
                    <w:pBdr>
                      <w:top w:val="single" w:sz="9" w:color="D8DDEA"/>
                    </w:pBd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bl>
                  <w:tblPr>
                    <w:jc w:val="left"/>
                    <w:tblCellSpacing w:w="30" w:type="dxa"/>
                    <w:tblBorders>
                      <w:top w:val="nil"/>
                      <w:left w:val="nil"/>
                      <w:bottom w:val="nil"/>
                      <w:right w:val="nil"/>
                      <w:insideH w:val="nil"/>
                      <w:insideV w:val="nil"/>
                    </w:tblBorders>
                  </w:tblPr>
                  <w:tr>
                    <w:tc>
                      <w:tcPr>
                        <w:tcW w:w="2500" w:type="pct"/>
                        <w:vAlign w:val="top"/>
                      </w:tcPr>
                      <w:p>
                        <w:pPr>
                          <w:spacing w:before="0" w:after="0" w:lineRule="atLeast" w:line="270"/>
                          <w:ind w:left="60" w:right="0" w:hanging="0"/>
                          <w:jc w:val="left"/>
                          <w:rPr>
                            <w:rFonts w:ascii="arial" w:eastAsia="arial" w:hAnsi="arial" w:cs="arial"/>
                            <w:b/>
                            <w:bCs/>
                            <w:i w:val="false"/>
                            <w:color w:val="333333"/>
                            <w:spacing w:val="4"/>
                            <w:sz w:val="21"/>
                            <w:szCs w:val="21"/>
                          </w:rPr>
                        </w:pPr>
                        <w:r>
                          <w:rPr>
                            <w:rFonts w:ascii="arial" w:eastAsia="arial" w:hAnsi="arial" w:cs="arial"/>
                            <w:b/>
                            <w:bCs/>
                            <w:i w:val="false"/>
                            <w:color w:val="333333"/>
                            <w:spacing w:val="4"/>
                            <w:sz w:val="21"/>
                            <w:szCs w:val="21"/>
                          </w:rPr>
                          <w:t>Key Trends</w:t>
                        </w:r>
                      </w:p>
                      <w:p>
                        <w:pPr>
                          <w:spacing w:before="0" w:after="0" w:lineRule="atLeast" w:line="225"/>
                          <w:ind w:hanging="0"/>
                          <w:jc w:val="left"/>
                          <w:rPr>
                            <w:rFonts w:ascii="arial" w:eastAsia="arial" w:hAnsi="arial" w:cs="arial"/>
                            <w:b w:val="false"/>
                            <w:bCs w:val="false"/>
                            <w:i w:val="false"/>
                            <w:sz w:val="16"/>
                            <w:szCs w:val="16"/>
                          </w:rPr>
                        </w:pPr>
                      </w:p>
                      <w:p>
                        <w:pPr>
                          <w:numPr>
                            <w:ilvl w:val="0"/>
                            <w:numId w:val="4"/>
                          </w:numPr>
                          <w:spacing w:before="0" w:after="120" w:lineRule="atLeast" w:line="225"/>
                          <w:ind w:left="60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Demand has been pressured in recent years from high levels of external competition</w:t>
                        </w:r>
                      </w:p>
                      <w:p>
                        <w:pPr>
                          <w:numPr>
                            <w:ilvl w:val="0"/>
                            <w:numId w:val="4"/>
                          </w:numPr>
                          <w:spacing w:before="0" w:after="120" w:lineRule="atLeast" w:line="225"/>
                          <w:ind w:left="60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Competition from online-only retailers has pushed industry revenue into a slow decline</w:t>
                        </w:r>
                      </w:p>
                      <w:p>
                        <w:pPr>
                          <w:numPr>
                            <w:ilvl w:val="0"/>
                            <w:numId w:val="4"/>
                          </w:numPr>
                          <w:spacing w:before="0" w:after="120" w:lineRule="atLeast" w:line="225"/>
                          <w:ind w:left="60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The majority of nonessential businesses have closed in mid-March</w:t>
                        </w:r>
                      </w:p>
                      <w:p>
                        <w:pPr>
                          <w:numPr>
                            <w:ilvl w:val="0"/>
                            <w:numId w:val="4"/>
                          </w:numPr>
                          <w:spacing w:before="0" w:after="120" w:lineRule="atLeast" w:line="225"/>
                          <w:ind w:left="60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The industry is projected to experience growth as economic trends, such as consumer confidence, increase</w:t>
                        </w:r>
                      </w:p>
                      <w:p>
                        <w:pPr>
                          <w:numPr>
                            <w:ilvl w:val="0"/>
                            <w:numId w:val="4"/>
                          </w:numPr>
                          <w:spacing w:before="0" w:after="120" w:lineRule="atLeast" w:line="225"/>
                          <w:ind w:left="60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Companies are anticipated to continue merger and acquisition</w:t>
                        </w:r>
                      </w:p>
                      <w:p>
                        <w:pPr>
                          <w:numPr>
                            <w:ilvl w:val="0"/>
                            <w:numId w:val="4"/>
                          </w:numPr>
                          <w:spacing w:before="0" w:after="120" w:lineRule="atLeast" w:line="225"/>
                          <w:ind w:left="60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A growing number of companies are permitting their employees to dress casually</w:t>
                        </w:r>
                      </w:p>
                      <w:p>
                        <w:pPr>
                          <w:numPr>
                            <w:ilvl w:val="0"/>
                            <w:numId w:val="4"/>
                          </w:numPr>
                          <w:spacing w:before="0" w:after="240" w:lineRule="atLeast" w:line="225"/>
                          <w:ind w:left="600" w:right="0" w:hanging="24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This brick-and-mortar industry will likely continue to feel pressure from external competitors</w:t>
                        </w:r>
                      </w:p>
                    </w:tc>
                  </w:tr>
                </w:tbl>
                <w:p>
                  <w:pPr/>
                </w:p>
              </w:tc>
            </w:tr>
          </w:tbl>
          <w:p>
            <w:pPr/>
          </w:p>
        </w:tc>
      </w:tr>
    </w:tbl>
    <w:p>
      <w:pPr>
        <w:spacing w:before="0" w:after="0"/>
        <w:rPr>
          <w:vanish/>
        </w:rPr>
      </w:pPr>
    </w:p>
    <w:tbl>
      <w:tblPr>
        <w:tblW w:w="5000" w:type="pct"/>
        <w:jc w:val="left"/>
        <w:tblBorders>
          <w:top w:val="nil"/>
          <w:left w:val="nil"/>
          <w:bottom w:val="nil"/>
          <w:right w:val="nil"/>
          <w:insideH w:val="nil"/>
          <w:insideV w:val="nil"/>
        </w:tblBorders>
      </w:tblPr>
      <w:tr>
        <w:trPr>
          <w:cantSplit/>
        </w:trPr>
        <w:tc>
          <w:tcPr>
            <w:vAlign w:val="top"/>
          </w:tcPr>
          <w:tbl>
            <w:tblPr>
              <w:tblW w:w="5000" w:type="pct"/>
              <w:jc w:val="left"/>
              <w:tblBorders>
                <w:top w:val="nil"/>
                <w:left w:val="nil"/>
                <w:bottom w:val="nil"/>
                <w:right w:val="nil"/>
                <w:insideH w:val="nil"/>
                <w:insideV w:val="nil"/>
              </w:tblBorders>
            </w:tblPr>
            <w:tr>
              <w:tc>
                <w:tcPr>
                  <w:vAlign w:val="top"/>
                </w:tcPr>
                <w:p>
                  <w:pPr>
                    <w:spacing w:before="0" w:after="0" w:lineRule="atLeast" w:line="270"/>
                    <w:ind w:left="60" w:right="0" w:hanging="0"/>
                    <w:jc w:val="left"/>
                    <w:rPr>
                      <w:rFonts w:ascii="arial" w:eastAsia="arial" w:hAnsi="arial" w:cs="arial"/>
                      <w:b/>
                      <w:bCs/>
                      <w:i w:val="false"/>
                      <w:color w:val="333333"/>
                      <w:spacing w:val="4"/>
                      <w:sz w:val="21"/>
                      <w:szCs w:val="21"/>
                    </w:rPr>
                  </w:pPr>
                  <w:r>
                    <w:rPr>
                      <w:rFonts w:ascii="arial" w:eastAsia="arial" w:hAnsi="arial" w:cs="arial"/>
                      <w:b/>
                      <w:bCs/>
                      <w:i w:val="false"/>
                      <w:color w:val="333333"/>
                      <w:spacing w:val="4"/>
                      <w:sz w:val="21"/>
                      <w:szCs w:val="21"/>
                    </w:rPr>
                    <w:t>Products &amp; Services Segmentation</w:t>
                  </w:r>
                </w:p>
                <w:p>
                  <w:pPr>
                    <w:spacing w:before="0" w:after="0" w:lineRule="atLeast" w:line="225"/>
                    <w:ind w:hanging="0"/>
                    <w:jc w:val="left"/>
                    <w:rPr>
                      <w:rFonts w:ascii="arial" w:eastAsia="arial" w:hAnsi="arial" w:cs="arial"/>
                      <w:b w:val="false"/>
                      <w:bCs w:val="false"/>
                      <w:i w:val="false"/>
                      <w:sz w:val="16"/>
                      <w:szCs w:val="16"/>
                    </w:rPr>
                  </w:pPr>
                  <w:r>
                    <w:br/>
                  </w:r>
                  <w:r>
                    <w:drawing>
                      <wp:inline>
                        <wp:extent cx="6667500" cy="1111250"/>
                        <wp:docPr id="49" name="Picture 49"/>
                        <a:graphic xmlns:a="http://schemas.openxmlformats.org/drawingml/2006/main">
                          <a:graphicData uri="http://schemas.openxmlformats.org/drawingml/2006/picture">
                            <pic:pic xmlns:pic="http://schemas.openxmlformats.org/drawingml/2006/picture">
                              <pic:nvPicPr>
                                <pic:cNvPr id="50" name="Picture 50"/>
                                <pic:cNvPicPr/>
                              </pic:nvPicPr>
                              <pic:blipFill>
                                <a:blip r:embed="PictureId23" cstate="print"/>
                                <a:stretch>
                                  <a:fillRect/>
                                </a:stretch>
                              </pic:blipFill>
                              <pic:spPr>
                                <a:xfrm>
                                  <a:off x="0" y="0"/>
                                  <a:ext cx="6667500" cy="1111250"/>
                                </a:xfrm>
                                <a:prstGeom prst="rect">
                                  <a:avLst/>
                                </a:prstGeom>
                              </pic:spPr>
                            </pic:pic>
                          </a:graphicData>
                        </a:graphic>
                      </wp:inline>
                    </w:drawing>
                  </w:r>
                </w:p>
              </w:tc>
            </w:tr>
          </w:tbl>
          <w:p>
            <w:pPr>
              <w:spacing w:before="0" w:after="0" w:lineRule="atLeast" w:line="225"/>
              <w:ind w:hanging="0"/>
              <w:jc w:val="left"/>
              <w:rPr>
                <w:rFonts w:ascii="arial" w:eastAsia="arial" w:hAnsi="arial" w:cs="arial"/>
                <w:b w:val="false"/>
                <w:bCs w:val="false"/>
                <w:i w:val="false"/>
                <w:sz w:val="16"/>
                <w:szCs w:val="16"/>
              </w:rPr>
            </w:pPr>
          </w:p>
          <w:p>
            <w:pPr>
              <w:pBdr>
                <w:top w:val="single" w:sz="9" w:color="D8DDEA"/>
              </w:pBd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bl>
            <w:tblPr>
              <w:tblW w:w="5000" w:type="pct"/>
              <w:jc w:val="left"/>
              <w:tblBorders>
                <w:top w:val="nil"/>
                <w:left w:val="nil"/>
                <w:bottom w:val="nil"/>
                <w:right w:val="nil"/>
                <w:insideH w:val="nil"/>
                <w:insideV w:val="nil"/>
              </w:tblBorders>
            </w:tblPr>
            <w:tr>
              <w:tc>
                <w:tcPr>
                  <w:tcW w:w="2500" w:type="pct"/>
                  <w:vAlign w:val="top"/>
                </w:tcPr>
                <w:p>
                  <w:pPr>
                    <w:spacing w:before="0" w:after="0" w:lineRule="atLeast" w:line="270"/>
                    <w:ind w:left="60" w:right="0" w:hanging="0"/>
                    <w:jc w:val="left"/>
                    <w:rPr>
                      <w:rFonts w:ascii="arial" w:eastAsia="arial" w:hAnsi="arial" w:cs="arial"/>
                      <w:b/>
                      <w:bCs/>
                      <w:i w:val="false"/>
                      <w:color w:val="333333"/>
                      <w:spacing w:val="4"/>
                      <w:sz w:val="21"/>
                      <w:szCs w:val="21"/>
                    </w:rPr>
                  </w:pPr>
                  <w:r>
                    <w:rPr>
                      <w:rFonts w:ascii="arial" w:eastAsia="arial" w:hAnsi="arial" w:cs="arial"/>
                      <w:b/>
                      <w:bCs/>
                      <w:i w:val="false"/>
                      <w:color w:val="333333"/>
                      <w:spacing w:val="4"/>
                      <w:sz w:val="21"/>
                      <w:szCs w:val="21"/>
                    </w:rPr>
                    <w:t>Major Players</w:t>
                  </w:r>
                </w:p>
                <w:p>
                  <w:pPr>
                    <w:spacing w:before="0" w:after="0" w:lineRule="atLeast" w:line="225"/>
                    <w:ind w:hanging="0"/>
                    <w:jc w:val="left"/>
                    <w:rPr>
                      <w:rFonts w:ascii="arial" w:eastAsia="arial" w:hAnsi="arial" w:cs="arial"/>
                      <w:b w:val="false"/>
                      <w:bCs w:val="false"/>
                      <w:i w:val="false"/>
                      <w:sz w:val="16"/>
                      <w:szCs w:val="16"/>
                    </w:rPr>
                  </w:pPr>
                  <w:r>
                    <w:drawing>
                      <wp:inline>
                        <wp:extent cx="3333750" cy="4762500"/>
                        <wp:docPr id="51" name="Picture 51"/>
                        <a:graphic xmlns:a="http://schemas.openxmlformats.org/drawingml/2006/main">
                          <a:graphicData uri="http://schemas.openxmlformats.org/drawingml/2006/picture">
                            <pic:pic xmlns:pic="http://schemas.openxmlformats.org/drawingml/2006/picture">
                              <pic:nvPicPr>
                                <pic:cNvPr id="52" name="Picture 52"/>
                                <pic:cNvPicPr/>
                              </pic:nvPicPr>
                              <pic:blipFill>
                                <a:blip r:embed="PictureId24" cstate="print"/>
                                <a:stretch>
                                  <a:fillRect/>
                                </a:stretch>
                              </pic:blipFill>
                              <pic:spPr>
                                <a:xfrm>
                                  <a:off x="0" y="0"/>
                                  <a:ext cx="3333750" cy="4762500"/>
                                </a:xfrm>
                                <a:prstGeom prst="rect">
                                  <a:avLst/>
                                </a:prstGeom>
                              </pic:spPr>
                            </pic:pic>
                          </a:graphicData>
                        </a:graphic>
                      </wp:inline>
                    </w:drawing>
                  </w:r>
                </w:p>
              </w:tc>
              <w:tc>
                <w:tcPr>
                  <w:tcW w:w="2500" w:type="pct"/>
                  <w:tcBorders>
                    <w:left w:val="single" w:sz="9" w:color="D8DDEA"/>
                  </w:tcBorders>
                  <w:vAlign w:val="top"/>
                </w:tcPr>
                <w:p>
                  <w:pPr>
                    <w:spacing w:before="0" w:after="0" w:lineRule="atLeast" w:line="270"/>
                    <w:ind w:left="60" w:right="0" w:hanging="0"/>
                    <w:jc w:val="left"/>
                    <w:rPr>
                      <w:rFonts w:ascii="arial" w:eastAsia="arial" w:hAnsi="arial" w:cs="arial"/>
                      <w:b/>
                      <w:bCs/>
                      <w:i w:val="false"/>
                      <w:color w:val="333333"/>
                      <w:spacing w:val="4"/>
                      <w:sz w:val="21"/>
                      <w:szCs w:val="21"/>
                    </w:rPr>
                  </w:pPr>
                  <w:r>
                    <w:rPr>
                      <w:rFonts w:ascii="arial" w:eastAsia="arial" w:hAnsi="arial" w:cs="arial"/>
                      <w:b/>
                      <w:bCs/>
                      <w:i w:val="false"/>
                      <w:color w:val="333333"/>
                      <w:spacing w:val="4"/>
                      <w:sz w:val="21"/>
                      <w:szCs w:val="21"/>
                    </w:rPr>
                    <w:t>SWOT</w:t>
                  </w:r>
                </w:p>
                <w:p>
                  <w:pPr>
                    <w:spacing w:before="0" w:after="0" w:lineRule="atLeast" w:line="225"/>
                    <w:ind w:hanging="0"/>
                    <w:jc w:val="left"/>
                    <w:rPr>
                      <w:rFonts w:ascii="arial" w:eastAsia="arial" w:hAnsi="arial" w:cs="arial"/>
                      <w:b w:val="false"/>
                      <w:bCs w:val="false"/>
                      <w:i w:val="false"/>
                      <w:sz w:val="16"/>
                      <w:szCs w:val="16"/>
                    </w:rPr>
                  </w:pPr>
                </w:p>
                <w:tbl>
                  <w:tblPr>
                    <w:jc w:val="left"/>
                    <w:tblCellSpacing w:w="30" w:type="dxa"/>
                    <w:tblBorders>
                      <w:top w:val="nil"/>
                      <w:left w:val="nil"/>
                      <w:bottom w:val="nil"/>
                      <w:right w:val="nil"/>
                      <w:insideH w:val="nil"/>
                      <w:insideV w:val="nil"/>
                    </w:tblBorders>
                  </w:tblP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drawing>
                            <wp:inline>
                              <wp:extent cx="361950" cy="352425"/>
                              <wp:docPr id="53" name="Picture 53" descr="Strengths"/>
                              <a:graphic xmlns:a="http://schemas.openxmlformats.org/drawingml/2006/main">
                                <a:graphicData uri="http://schemas.openxmlformats.org/drawingml/2006/picture">
                                  <pic:pic xmlns:pic="http://schemas.openxmlformats.org/drawingml/2006/picture">
                                    <pic:nvPicPr>
                                      <pic:cNvPr id="54" name="Picture 54"/>
                                      <pic:cNvPicPr/>
                                    </pic:nvPicPr>
                                    <pic:blipFill>
                                      <a:blip r:embed="PictureId25" cstate="print"/>
                                      <a:stretch>
                                        <a:fillRect/>
                                      </a:stretch>
                                    </pic:blipFill>
                                    <pic:spPr>
                                      <a:xfrm>
                                        <a:off x="0" y="0"/>
                                        <a:ext cx="361950" cy="352425"/>
                                      </a:xfrm>
                                      <a:prstGeom prst="rect">
                                        <a:avLst/>
                                      </a:prstGeom>
                                    </pic:spPr>
                                  </pic:pic>
                                </a:graphicData>
                              </a:graphic>
                            </wp:inline>
                          </w:drawing>
                        </w:r>
                      </w:p>
                    </w:tc>
                    <w:tc>
                      <w:tcPr>
                        <w:tcW w:w="2500" w:type="pct"/>
                        <w:vAlign w:val="center"/>
                      </w:tcPr>
                      <w:p>
                        <w:pPr>
                          <w:spacing w:before="0" w:after="0" w:lineRule="atLeast" w:line="240"/>
                          <w:ind w:hanging="0"/>
                          <w:jc w:val="left"/>
                          <w:rPr>
                            <w:rFonts w:ascii="arial" w:eastAsia="arial" w:hAnsi="arial" w:cs="arial"/>
                            <w:b w:val="false"/>
                            <w:bCs w:val="false"/>
                            <w:i w:val="false"/>
                            <w:sz w:val="16"/>
                            <w:szCs w:val="16"/>
                          </w:rPr>
                        </w:pPr>
                        <w:r>
                          <w:rPr>
                            <w:rFonts w:ascii="arial" w:eastAsia="arial" w:hAnsi="arial" w:cs="arial"/>
                            <w:b/>
                            <w:bCs/>
                            <w:i w:val="false"/>
                            <w:caps/>
                            <w:color w:val="B8860B"/>
                            <w:sz w:val="18"/>
                            <w:szCs w:val="18"/>
                          </w:rPr>
                          <w:t>Strengths</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Low Imports</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Low Customer Class Concentration</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Low Product/Service Concentration</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Low Capital Requirements</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drawing>
                            <wp:inline>
                              <wp:extent cx="361950" cy="352425"/>
                              <wp:docPr id="55" name="Picture 55" descr="Weaknesses"/>
                              <a:graphic xmlns:a="http://schemas.openxmlformats.org/drawingml/2006/main">
                                <a:graphicData uri="http://schemas.openxmlformats.org/drawingml/2006/picture">
                                  <pic:pic xmlns:pic="http://schemas.openxmlformats.org/drawingml/2006/picture">
                                    <pic:nvPicPr>
                                      <pic:cNvPr id="56" name="Picture 56"/>
                                      <pic:cNvPicPr/>
                                    </pic:nvPicPr>
                                    <pic:blipFill>
                                      <a:blip r:embed="PictureId26" cstate="print"/>
                                      <a:stretch>
                                        <a:fillRect/>
                                      </a:stretch>
                                    </pic:blipFill>
                                    <pic:spPr>
                                      <a:xfrm>
                                        <a:off x="0" y="0"/>
                                        <a:ext cx="361950" cy="352425"/>
                                      </a:xfrm>
                                      <a:prstGeom prst="rect">
                                        <a:avLst/>
                                      </a:prstGeom>
                                    </pic:spPr>
                                  </pic:pic>
                                </a:graphicData>
                              </a:graphic>
                            </wp:inline>
                          </w:drawing>
                        </w:r>
                      </w:p>
                    </w:tc>
                    <w:tc>
                      <w:tcPr>
                        <w:tcW w:w="2500" w:type="pct"/>
                        <w:vAlign w:val="center"/>
                      </w:tcPr>
                      <w:p>
                        <w:pPr>
                          <w:spacing w:before="0" w:after="0" w:lineRule="atLeast" w:line="240"/>
                          <w:ind w:hanging="0"/>
                          <w:jc w:val="left"/>
                          <w:rPr>
                            <w:rFonts w:ascii="arial" w:eastAsia="arial" w:hAnsi="arial" w:cs="arial"/>
                            <w:b w:val="false"/>
                            <w:bCs w:val="false"/>
                            <w:i w:val="false"/>
                            <w:sz w:val="16"/>
                            <w:szCs w:val="16"/>
                          </w:rPr>
                        </w:pPr>
                        <w:r>
                          <w:rPr>
                            <w:rFonts w:ascii="arial" w:eastAsia="arial" w:hAnsi="arial" w:cs="arial"/>
                            <w:b/>
                            <w:bCs/>
                            <w:i w:val="false"/>
                            <w:caps/>
                            <w:color w:val="87004F"/>
                            <w:sz w:val="18"/>
                            <w:szCs w:val="18"/>
                          </w:rPr>
                          <w:t>Weaknesses</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Low &amp; Steady Level of Assistance</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High Competition</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Low Profit vs. Sector Average</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Low Revenue per Employee</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drawing>
                            <wp:inline>
                              <wp:extent cx="361950" cy="352425"/>
                              <wp:docPr id="57" name="Picture 57" descr="Opportunities"/>
                              <a:graphic xmlns:a="http://schemas.openxmlformats.org/drawingml/2006/main">
                                <a:graphicData uri="http://schemas.openxmlformats.org/drawingml/2006/picture">
                                  <pic:pic xmlns:pic="http://schemas.openxmlformats.org/drawingml/2006/picture">
                                    <pic:nvPicPr>
                                      <pic:cNvPr id="58" name="Picture 58"/>
                                      <pic:cNvPicPr/>
                                    </pic:nvPicPr>
                                    <pic:blipFill>
                                      <a:blip r:embed="PictureId27" cstate="print"/>
                                      <a:stretch>
                                        <a:fillRect/>
                                      </a:stretch>
                                    </pic:blipFill>
                                    <pic:spPr>
                                      <a:xfrm>
                                        <a:off x="0" y="0"/>
                                        <a:ext cx="361950" cy="352425"/>
                                      </a:xfrm>
                                      <a:prstGeom prst="rect">
                                        <a:avLst/>
                                      </a:prstGeom>
                                    </pic:spPr>
                                  </pic:pic>
                                </a:graphicData>
                              </a:graphic>
                            </wp:inline>
                          </w:drawing>
                        </w:r>
                      </w:p>
                    </w:tc>
                    <w:tc>
                      <w:tcPr>
                        <w:tcW w:w="2500" w:type="pct"/>
                        <w:vAlign w:val="center"/>
                      </w:tcPr>
                      <w:p>
                        <w:pPr>
                          <w:spacing w:before="0" w:after="0" w:lineRule="atLeast" w:line="240"/>
                          <w:ind w:hanging="0"/>
                          <w:jc w:val="left"/>
                          <w:rPr>
                            <w:rFonts w:ascii="arial" w:eastAsia="arial" w:hAnsi="arial" w:cs="arial"/>
                            <w:b w:val="false"/>
                            <w:bCs w:val="false"/>
                            <w:i w:val="false"/>
                            <w:sz w:val="16"/>
                            <w:szCs w:val="16"/>
                          </w:rPr>
                        </w:pPr>
                        <w:r>
                          <w:rPr>
                            <w:rFonts w:ascii="arial" w:eastAsia="arial" w:hAnsi="arial" w:cs="arial"/>
                            <w:b/>
                            <w:bCs/>
                            <w:i w:val="false"/>
                            <w:caps/>
                            <w:color w:val="B40F4C"/>
                            <w:sz w:val="18"/>
                            <w:szCs w:val="18"/>
                          </w:rPr>
                          <w:t>Opportunities</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Percentage of business conducted online</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drawing>
                            <wp:inline>
                              <wp:extent cx="361950" cy="352425"/>
                              <wp:docPr id="59" name="Picture 59" descr="Threats"/>
                              <a:graphic xmlns:a="http://schemas.openxmlformats.org/drawingml/2006/main">
                                <a:graphicData uri="http://schemas.openxmlformats.org/drawingml/2006/picture">
                                  <pic:pic xmlns:pic="http://schemas.openxmlformats.org/drawingml/2006/picture">
                                    <pic:nvPicPr>
                                      <pic:cNvPr id="60" name="Picture 60"/>
                                      <pic:cNvPicPr/>
                                    </pic:nvPicPr>
                                    <pic:blipFill>
                                      <a:blip r:embed="PictureId28" cstate="print"/>
                                      <a:stretch>
                                        <a:fillRect/>
                                      </a:stretch>
                                    </pic:blipFill>
                                    <pic:spPr>
                                      <a:xfrm>
                                        <a:off x="0" y="0"/>
                                        <a:ext cx="361950" cy="352425"/>
                                      </a:xfrm>
                                      <a:prstGeom prst="rect">
                                        <a:avLst/>
                                      </a:prstGeom>
                                    </pic:spPr>
                                  </pic:pic>
                                </a:graphicData>
                              </a:graphic>
                            </wp:inline>
                          </w:drawing>
                        </w:r>
                      </w:p>
                    </w:tc>
                    <w:tc>
                      <w:tcPr>
                        <w:tcW w:w="2500" w:type="pct"/>
                        <w:vAlign w:val="center"/>
                      </w:tcPr>
                      <w:p>
                        <w:pPr>
                          <w:spacing w:before="0" w:after="0" w:lineRule="atLeast" w:line="240"/>
                          <w:ind w:hanging="0"/>
                          <w:jc w:val="left"/>
                          <w:rPr>
                            <w:rFonts w:ascii="arial" w:eastAsia="arial" w:hAnsi="arial" w:cs="arial"/>
                            <w:b w:val="false"/>
                            <w:bCs w:val="false"/>
                            <w:i w:val="false"/>
                            <w:sz w:val="16"/>
                            <w:szCs w:val="16"/>
                          </w:rPr>
                        </w:pPr>
                        <w:r>
                          <w:rPr>
                            <w:rFonts w:ascii="arial" w:eastAsia="arial" w:hAnsi="arial" w:cs="arial"/>
                            <w:b/>
                            <w:bCs/>
                            <w:i w:val="false"/>
                            <w:caps/>
                            <w:color w:val="DD5F0C"/>
                            <w:sz w:val="18"/>
                            <w:szCs w:val="18"/>
                          </w:rPr>
                          <w:t>Threats</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Very Low Revenue Growth (2005-2020)</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Low Revenue Growth (2015-2020)</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Low Outlier Growth</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Low Revenue Growth (2020-2025)</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Low Performance Drivers</w:t>
                        </w:r>
                      </w:p>
                    </w:tc>
                  </w:tr>
                  <w:tr>
                    <w:tc>
                      <w:tcPr>
                        <w:tcW w:w="5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center"/>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Consumer confidence index</w:t>
                        </w:r>
                      </w:p>
                    </w:tc>
                  </w:tr>
                </w:tbl>
                <w:p>
                  <w:pPr/>
                </w:p>
              </w:tc>
            </w:tr>
          </w:tbl>
          <w:p>
            <w:pPr/>
          </w:p>
        </w:tc>
      </w:tr>
    </w:tbl>
    <w:p>
      <w:pPr>
        <w:spacing w:before="0" w:after="0" w:lineRule="atLeast" w:line="225"/>
        <w:ind w:hanging="0"/>
        <w:jc w:val="left"/>
        <w:rPr>
          <w:rFonts w:ascii="arial" w:eastAsia="arial" w:hAnsi="arial" w:cs="arial"/>
          <w:b w:val="false"/>
          <w:bCs w:val="false"/>
          <w:i w:val="false"/>
          <w:sz w:val="16"/>
          <w:szCs w:val="16"/>
        </w:rPr>
      </w:pPr>
      <w:r>
        <w:br/>
      </w:r>
    </w:p>
    <w:tbl>
      <w:tblPr>
        <w:tblW w:w="5000" w:type="pct"/>
        <w:jc w:val="left"/>
        <w:tblBorders>
          <w:top w:val="nil"/>
          <w:left w:val="nil"/>
          <w:bottom w:val="nil"/>
          <w:right w:val="nil"/>
          <w:insideH w:val="nil"/>
          <w:insideV w:val="nil"/>
        </w:tblBorders>
      </w:tblPr>
      <w:tr>
        <w:tc>
          <w:tcPr>
            <w:tcW w:w="1000" w:type="pct"/>
            <w:vAlign w:val="top"/>
          </w:tcPr>
          <w:p>
            <w:pPr>
              <w:pStyle w:val="heading 2"/>
              <w:keepNext/>
              <w:spacing w:before="0" w:after="0" w:lineRule="atLeast" w:line="270"/>
              <w:ind w:left="0" w:right="0" w:hanging="0"/>
              <w:jc w:val="left"/>
              <w:rPr>
                <w:rFonts w:ascii="arial" w:eastAsia="arial" w:hAnsi="arial" w:cs="arial"/>
                <w:b/>
                <w:bCs/>
                <w:i w:val="false"/>
                <w:color w:val="333333"/>
                <w:spacing w:val="4"/>
                <w:sz w:val="21"/>
                <w:szCs w:val="21"/>
              </w:rPr>
            </w:pPr>
            <w:bookmarkStart w:id="7" w:name="_Toc8"/>
            <w:r>
              <w:rPr>
                <w:rFonts w:ascii="arial" w:eastAsia="arial" w:hAnsi="arial" w:cs="arial"/>
                <w:b/>
                <w:bCs/>
                <w:i w:val="false"/>
                <w:color w:val="333333"/>
                <w:spacing w:val="4"/>
                <w:sz w:val="21"/>
                <w:szCs w:val="21"/>
              </w:rPr>
              <w:t>Executive Summary</w:t>
            </w:r>
            <w:bookmarkEnd w:id="7"/>
          </w:p>
        </w:tc>
        <w:tc>
          <w:tcPr>
            <w:tcW w:w="4000" w:type="pct"/>
            <w:vAlign w:val="top"/>
          </w:tcPr>
          <w:p>
            <w:pPr>
              <w:spacing w:before="0" w:after="0" w:lineRule="atLeast" w:line="300"/>
              <w:ind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The Men's Clothing Stores industry has contracted over the five years to 2020 as more male consumers turned to the internet for their clothing.</w:t>
            </w:r>
          </w:p>
          <w:p>
            <w:pPr>
              <w:spacing w:before="0" w:after="0" w:lineRule="atLeast" w:line="225"/>
              <w:ind w:hanging="0"/>
              <w:jc w:val="left"/>
              <w:rPr>
                <w:rFonts w:ascii="arial" w:eastAsia="arial" w:hAnsi="arial" w:cs="arial"/>
                <w:b w:val="false"/>
                <w:bCs w:val="false"/>
                <w:i w:val="false"/>
                <w:sz w:val="16"/>
                <w:szCs w:val="16"/>
              </w:rPr>
            </w:pPr>
          </w:p>
          <w:p>
            <w:pPr>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As the percentage of business conducted online grew at an annualized rate of 6.7% during the period, demand for brick-and-mortar establishments that operate in this industry fell. As a result, IBISWorld estimates that total industry revenue is expected to decline an annualized 5.9% to $7.0 billion over the five years to 2020. This trend was further exacerbated by the outbreak of COVID-19 (coronavirus), which resulted in nonessential businesses, such as Men's Clothing Stores industry operators, to shut down beginning in March for the foreseeable future. While each state is on a different timeline as to when businesses can reopen, the shutdown halted all foot traffic and revenue generated from in-store sales. As a result, industry revenue is anticipated to fall 15.7% in 2020 alone.</w:t>
            </w:r>
          </w:p>
          <w:p>
            <w:pPr>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Despite pressure from online-based retailers, industry demand has been driven by positive macroeconomic conditions for the majority of the five-year period. Demand for new men's apparel is at its highest when employment rates are strong because men often require new office attire for work. Although the national unemployment rate declined for the majority of the five-year period, industry declines were slightly tempered by such customers. Furthermore, as a result of the high employment rate, disposable income levels shifted upward between 2015 and 2019, providing consumers with more funds to spend. Still, the industry's brick-and-mortar establishments have not been able to compete with online retailers effectively, hampering profit. Additionally, sharply increasing unemployment and falling disposable income in 2020, as a result of the coronavirus, are anticipated to pose a threat to industry operators.</w:t>
            </w:r>
          </w:p>
          <w:p>
            <w:pPr>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Over the five years to 2025, IBISWorld expects that industry revenue will recover slightly. As the percentage of services conducted online continues to grow, this brick-and-mortar industry will likely continue to feel pressure from external competitors. However, macroeconomic trends that furthered industry losses in 2020 are expected to reverse in the coming years; for example, the unemployment rate is expected to decrease at an annualized rate of 14.0% over the next five years, expanding the number of consumers who need new work apparel. Similarly, the Consumer Confidence Index is expected to reverse its previous trend, growing at an annualized rate of 4.0%, and thus, boosting the amount of money consumers spend on industry goods. As a result, IBISWorld expects industry revenue to increase at an annualized rate of 1.1% over the five years to 2025 to $7.4 billion, as discretionary spending picks up as the economy rebounds from the coronavirus pandemic, mitigating further declines.</w:t>
            </w:r>
          </w:p>
        </w:tc>
      </w:tr>
    </w:tbl>
    <w:p>
      <w:pPr>
        <w:sectPr>
          <w:headerReference w:type="default" r:id="gemHfRid39"/>
          <w:footerReference w:type="default" r:id="gemHfRid40"/>
          <w:pgSz w:w="11907" w:h="16839" w:code="9"/>
          <w:pgMar w:top="640" w:right="640" w:bottom="640" w:left="640" w:header="0" w:footer="0" w:gutter="0"/>
          <w:cols w:space="708"/>
          <w:docGrid w:linePitch="360"/>
        </w:sectPr>
      </w:pPr>
    </w:p>
    <w:p>
      <w:pPr>
        <w:pStyle w:val="heading 1"/>
        <w:spacing w:before="0" w:after="240" w:lineRule="atLeast" w:line="420"/>
        <w:ind w:left="0" w:right="0" w:hanging="0"/>
        <w:jc w:val="left"/>
        <w:rPr>
          <w:rFonts w:ascii="arial" w:eastAsia="arial" w:hAnsi="arial" w:cs="arial"/>
          <w:b w:val="false"/>
          <w:bCs w:val="false"/>
          <w:i w:val="false"/>
          <w:color w:val="333333"/>
          <w:sz w:val="36"/>
          <w:szCs w:val="36"/>
        </w:rPr>
      </w:pPr>
      <w:bookmarkStart w:id="8" w:name="_Toc9"/>
      <w:r>
        <w:rPr>
          <w:rFonts w:ascii="arial" w:eastAsia="arial" w:hAnsi="arial" w:cs="arial"/>
          <w:b w:val="false"/>
          <w:bCs w:val="false"/>
          <w:i w:val="false"/>
          <w:color w:val="333333"/>
          <w:sz w:val="36"/>
          <w:szCs w:val="36"/>
        </w:rPr>
        <w:t>Industry Performance</w:t>
      </w:r>
      <w:bookmarkEnd w:id="8"/>
    </w:p>
    <w:tbl>
      <w:tblPr>
        <w:tblW w:w="5000" w:type="pct"/>
        <w:jc w:val="left"/>
        <w:tblBorders>
          <w:top w:val="nil"/>
          <w:left w:val="nil"/>
          <w:bottom w:val="nil"/>
          <w:right w:val="nil"/>
          <w:insideH w:val="nil"/>
          <w:insideV w:val="nil"/>
        </w:tblBorders>
      </w:tblPr>
      <w:tr>
        <w:tc>
          <w:tcPr>
            <w:vAlign w:val="top"/>
          </w:tcPr>
          <w:tbl>
            <w:tblPr>
              <w:tblW w:w="5000" w:type="pct"/>
              <w:jc w:val="left"/>
              <w:tblBorders>
                <w:top w:val="nil"/>
                <w:left w:val="nil"/>
                <w:bottom w:val="nil"/>
                <w:right w:val="nil"/>
                <w:insideH w:val="nil"/>
                <w:insideV w:val="nil"/>
              </w:tblBorders>
            </w:tblPr>
            <w:tr>
              <w:tc>
                <w:tcPr>
                  <w:vAlign w:val="top"/>
                </w:tcPr>
                <w:p>
                  <w:pPr>
                    <w:keepNext/>
                    <w:keepLines/>
                    <w:spacing w:before="0" w:after="0" w:lineRule="atLeast" w:line="225"/>
                    <w:ind w:hanging="0"/>
                    <w:jc w:val="left"/>
                    <w:rPr>
                      <w:rFonts w:ascii="arial" w:eastAsia="arial" w:hAnsi="arial" w:cs="arial"/>
                      <w:b w:val="false"/>
                      <w:bCs w:val="false"/>
                      <w:i w:val="false"/>
                      <w:sz w:val="16"/>
                      <w:szCs w:val="16"/>
                    </w:rPr>
                  </w:pPr>
                  <w:r>
                    <w:drawing>
                      <wp:inline>
                        <wp:extent cx="6667500" cy="3367424"/>
                        <wp:docPr id="61" name="Picture 61"/>
                        <a:graphic xmlns:a="http://schemas.openxmlformats.org/drawingml/2006/main">
                          <a:graphicData uri="http://schemas.openxmlformats.org/drawingml/2006/picture">
                            <pic:pic xmlns:pic="http://schemas.openxmlformats.org/drawingml/2006/picture">
                              <pic:nvPicPr>
                                <pic:cNvPr id="62" name="Picture 62"/>
                                <pic:cNvPicPr/>
                              </pic:nvPicPr>
                              <pic:blipFill>
                                <a:blip r:embed="PictureId29" cstate="print"/>
                                <a:stretch>
                                  <a:fillRect/>
                                </a:stretch>
                              </pic:blipFill>
                              <pic:spPr>
                                <a:xfrm>
                                  <a:off x="0" y="0"/>
                                  <a:ext cx="6667500" cy="3367424"/>
                                </a:xfrm>
                                <a:prstGeom prst="rect">
                                  <a:avLst/>
                                </a:prstGeom>
                              </pic:spPr>
                            </pic:pic>
                          </a:graphicData>
                        </a:graphic>
                      </wp:inline>
                    </w:drawing>
                  </w:r>
                </w:p>
              </w:tc>
            </w:tr>
          </w:tbl>
          <w:p>
            <w:pPr>
              <w:keepNext/>
              <w:keepLines/>
              <w:spacing w:before="0" w:after="0" w:lineRule="atLeast" w:line="225"/>
              <w:ind w:hanging="0"/>
              <w:jc w:val="left"/>
              <w:rPr>
                <w:rFonts w:ascii="arial" w:eastAsia="arial" w:hAnsi="arial" w:cs="arial"/>
                <w:b w:val="false"/>
                <w:bCs w:val="false"/>
                <w:i w:val="false"/>
                <w:sz w:val="16"/>
                <w:szCs w:val="16"/>
              </w:rPr>
            </w:pPr>
          </w:p>
          <w:tbl>
            <w:tblPr>
              <w:tblW w:w="5000" w:type="pct"/>
              <w:jc w:val="left"/>
              <w:tblBorders>
                <w:top w:val="nil"/>
                <w:left w:val="nil"/>
                <w:bottom w:val="nil"/>
                <w:right w:val="nil"/>
                <w:insideH w:val="nil"/>
                <w:insideV w:val="nil"/>
              </w:tblBorders>
            </w:tblP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9" w:name="_Toc10"/>
                  <w:r>
                    <w:rPr>
                      <w:rFonts w:ascii="arial" w:eastAsia="arial" w:hAnsi="arial" w:cs="arial"/>
                      <w:b/>
                      <w:bCs/>
                      <w:i w:val="false"/>
                      <w:color w:val="333333"/>
                      <w:spacing w:val="4"/>
                      <w:sz w:val="21"/>
                      <w:szCs w:val="21"/>
                    </w:rPr>
                    <w:t xml:space="preserve">Key External </w:t>
                  </w:r>
                  <w:r>
                    <w:br/>
                  </w:r>
                  <w:r>
                    <w:rPr>
                      <w:rFonts w:ascii="arial" w:eastAsia="arial" w:hAnsi="arial" w:cs="arial"/>
                      <w:b/>
                      <w:bCs/>
                      <w:i w:val="false"/>
                      <w:color w:val="333333"/>
                      <w:spacing w:val="4"/>
                      <w:sz w:val="21"/>
                      <w:szCs w:val="21"/>
                    </w:rPr>
                    <w:t>Drivers</w:t>
                  </w:r>
                  <w:bookmarkEnd w:id="9"/>
                </w:p>
              </w:tc>
              <w:tc>
                <w:tcPr>
                  <w:tcW w:w="4000" w:type="pct"/>
                  <w:vAlign w:val="top"/>
                </w:tcPr>
                <w:p>
                  <w:pPr>
                    <w:pStyle w:val="heading 3"/>
                    <w:keepNext/>
                    <w:keepLines/>
                    <w:spacing w:before="0" w:after="180" w:lineRule="atLeast" w:line="270"/>
                    <w:ind w:left="0" w:right="0" w:hanging="0"/>
                    <w:jc w:val="left"/>
                    <w:rPr>
                      <w:rFonts w:ascii="arial" w:eastAsia="arial" w:hAnsi="arial" w:cs="arial"/>
                      <w:b/>
                      <w:bCs/>
                      <w:i w:val="false"/>
                      <w:color w:val="000000"/>
                      <w:sz w:val="18"/>
                      <w:szCs w:val="18"/>
                    </w:rPr>
                  </w:pPr>
                  <w:r>
                    <w:rPr>
                      <w:rFonts w:ascii="arial" w:eastAsia="arial" w:hAnsi="arial" w:cs="arial"/>
                      <w:b/>
                      <w:bCs/>
                      <w:i w:val="false"/>
                      <w:color w:val="000000"/>
                      <w:sz w:val="18"/>
                      <w:szCs w:val="18"/>
                    </w:rPr>
                    <w:t>Per capita disposable income</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Growth in per capita disposable income affects demand for men's clothing. The majority of industry products are highly discretionary items; therefore, when household disposable income is high, consumers have more discretionary funds on hand to purchase items sold in this industry. Per capita disposable income is expected to increase in 2020.</w:t>
                  </w:r>
                </w:p>
                <w:p>
                  <w:pPr>
                    <w:keepNext/>
                    <w:keepLines/>
                    <w:pBdr>
                      <w:top w:val="single" w:sz="6" w:color="D8DDEA"/>
                    </w:pBdr>
                    <w:spacing w:before="60" w:after="60" w:lineRule="atLeast" w:line="1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p>
                  <w:pPr>
                    <w:pStyle w:val="heading 3"/>
                    <w:keepNext/>
                    <w:keepLines/>
                    <w:spacing w:before="0" w:after="180" w:lineRule="atLeast" w:line="270"/>
                    <w:ind w:left="0" w:right="0" w:hanging="0"/>
                    <w:jc w:val="left"/>
                    <w:rPr>
                      <w:rFonts w:ascii="arial" w:eastAsia="arial" w:hAnsi="arial" w:cs="arial"/>
                      <w:b/>
                      <w:bCs/>
                      <w:i w:val="false"/>
                      <w:color w:val="000000"/>
                      <w:sz w:val="18"/>
                      <w:szCs w:val="18"/>
                    </w:rPr>
                  </w:pPr>
                  <w:r>
                    <w:rPr>
                      <w:rFonts w:ascii="arial" w:eastAsia="arial" w:hAnsi="arial" w:cs="arial"/>
                      <w:b/>
                      <w:bCs/>
                      <w:i w:val="false"/>
                      <w:color w:val="000000"/>
                      <w:sz w:val="18"/>
                      <w:szCs w:val="18"/>
                    </w:rPr>
                    <w:t>Percentage of business conducted online</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Online shopping poses a direct threat to traditional industry retailers. Many online retailers are able to offer products similar to those offered by specialty apparel retailers, but with lower prices, wider inventories and the ease of direct-to-home shipping. An increase in the percentage of services conducted online will likely decrease demand for traditional brick-and-mortar stores, depressing industry revenue. The percentage of services conducted online is expected to rise in 2020, posing a potential threat to the industry.</w:t>
                  </w:r>
                </w:p>
                <w:p>
                  <w:pPr>
                    <w:keepNext/>
                    <w:keepLines/>
                    <w:pBdr>
                      <w:top w:val="single" w:sz="6" w:color="D8DDEA"/>
                    </w:pBdr>
                    <w:spacing w:before="60" w:after="60" w:lineRule="atLeast" w:line="1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p>
                  <w:pPr>
                    <w:pStyle w:val="heading 3"/>
                    <w:keepNext/>
                    <w:keepLines/>
                    <w:spacing w:before="0" w:after="180" w:lineRule="atLeast" w:line="270"/>
                    <w:ind w:left="0" w:right="0" w:hanging="0"/>
                    <w:jc w:val="left"/>
                    <w:rPr>
                      <w:rFonts w:ascii="arial" w:eastAsia="arial" w:hAnsi="arial" w:cs="arial"/>
                      <w:b/>
                      <w:bCs/>
                      <w:i w:val="false"/>
                      <w:color w:val="000000"/>
                      <w:sz w:val="18"/>
                      <w:szCs w:val="18"/>
                    </w:rPr>
                  </w:pPr>
                  <w:r>
                    <w:rPr>
                      <w:rFonts w:ascii="arial" w:eastAsia="arial" w:hAnsi="arial" w:cs="arial"/>
                      <w:b/>
                      <w:bCs/>
                      <w:i w:val="false"/>
                      <w:color w:val="000000"/>
                      <w:sz w:val="18"/>
                      <w:szCs w:val="18"/>
                    </w:rPr>
                    <w:t>Consumer Confidence Index</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Higher consumer confidence generally leads to an increase in household expenditure, which in turn increases demand for apparel sold in this industry. Falling levels of consumer confidence tend to decrease demand for clothing and related items. The Consumer Confidence Index is expected to decrease in 2020.</w:t>
                  </w:r>
                </w:p>
                <w:p>
                  <w:pPr>
                    <w:keepNext/>
                    <w:keepLines/>
                    <w:pBdr>
                      <w:top w:val="single" w:sz="6" w:color="D8DDEA"/>
                    </w:pBdr>
                    <w:spacing w:before="60" w:after="60" w:lineRule="atLeast" w:line="1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p>
                  <w:pPr>
                    <w:pStyle w:val="heading 3"/>
                    <w:keepNext/>
                    <w:keepLines/>
                    <w:spacing w:before="0" w:after="180" w:lineRule="atLeast" w:line="270"/>
                    <w:ind w:left="0" w:right="0" w:hanging="0"/>
                    <w:jc w:val="left"/>
                    <w:rPr>
                      <w:rFonts w:ascii="arial" w:eastAsia="arial" w:hAnsi="arial" w:cs="arial"/>
                      <w:b/>
                      <w:bCs/>
                      <w:i w:val="false"/>
                      <w:color w:val="000000"/>
                      <w:sz w:val="18"/>
                      <w:szCs w:val="18"/>
                    </w:rPr>
                  </w:pPr>
                  <w:r>
                    <w:rPr>
                      <w:rFonts w:ascii="arial" w:eastAsia="arial" w:hAnsi="arial" w:cs="arial"/>
                      <w:b/>
                      <w:bCs/>
                      <w:i w:val="false"/>
                      <w:color w:val="000000"/>
                      <w:sz w:val="18"/>
                      <w:szCs w:val="18"/>
                    </w:rPr>
                    <w:t>National unemployment rate</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Business attire, suits and formal wear comprise a notable share of industry sales. Men typically purchase these clothing items for work and related events. As a result, industry demand declines when the unemployment rate is high. Conversely, demand for work-related attire grows when employment increases. The national unemployment rate is expected to increase sharply in 2020.</w:t>
                  </w:r>
                </w:p>
                <w:p>
                  <w:pPr>
                    <w:keepNext/>
                    <w:keepLines/>
                    <w:pBdr>
                      <w:top w:val="single" w:sz="6" w:color="D8DDEA"/>
                    </w:pBdr>
                    <w:spacing w:before="60" w:after="60" w:lineRule="atLeast" w:line="1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p>
                  <w:pPr>
                    <w:pStyle w:val="heading 3"/>
                    <w:keepNext/>
                    <w:keepLines/>
                    <w:spacing w:before="0" w:after="180" w:lineRule="atLeast" w:line="270"/>
                    <w:ind w:left="0" w:right="0" w:hanging="0"/>
                    <w:jc w:val="left"/>
                    <w:rPr>
                      <w:rFonts w:ascii="arial" w:eastAsia="arial" w:hAnsi="arial" w:cs="arial"/>
                      <w:b/>
                      <w:bCs/>
                      <w:i w:val="false"/>
                      <w:color w:val="000000"/>
                      <w:sz w:val="18"/>
                      <w:szCs w:val="18"/>
                    </w:rPr>
                  </w:pPr>
                  <w:r>
                    <w:rPr>
                      <w:rFonts w:ascii="arial" w:eastAsia="arial" w:hAnsi="arial" w:cs="arial"/>
                      <w:b/>
                      <w:bCs/>
                      <w:i w:val="false"/>
                      <w:color w:val="000000"/>
                      <w:sz w:val="18"/>
                      <w:szCs w:val="18"/>
                    </w:rPr>
                    <w:t>Households earning more than $100,000</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Consumers in a higher-income bracket are more likely to shop at specialized men's clothing stores. Many industry participants design their products for affluent men and have clothing lines with high prices. The number of households earning more than $100,000 is expected to decline slightly in 2020. However, compared to other drivers this decline is subdued, presenting a potential opportunity for industry operators.</w:t>
                  </w:r>
                </w:p>
                <w:p>
                  <w:pPr>
                    <w:keepNext/>
                    <w:keepLines/>
                    <w:pBdr>
                      <w:top w:val="single" w:sz="6" w:color="D8DDEA"/>
                    </w:pBdr>
                    <w:spacing w:before="60" w:after="60" w:lineRule="atLeast" w:line="1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r>
          </w:tbl>
          <w:p>
            <w:pPr/>
          </w:p>
        </w:tc>
      </w:tr>
      <w:tr>
        <w:tc>
          <w:tcPr>
            <w:vAlign w:val="top"/>
          </w:tcPr>
          <w:p>
            <w:pPr>
              <w:keepNext/>
              <w:keepLines/>
              <w:spacing w:before="0" w:after="0" w:lineRule="atLeast" w:line="225"/>
              <w:ind w:hanging="0"/>
              <w:jc w:val="left"/>
              <w:rPr>
                <w:rFonts w:ascii="arial" w:eastAsia="arial" w:hAnsi="arial" w:cs="arial"/>
                <w:b w:val="false"/>
                <w:bCs w:val="false"/>
                <w:i w:val="false"/>
                <w:sz w:val="16"/>
                <w:szCs w:val="16"/>
              </w:rPr>
            </w:pPr>
          </w:p>
          <w:tbl>
            <w:tblPr>
              <w:tblW w:w="5000" w:type="pct"/>
              <w:jc w:val="left"/>
              <w:tblBorders>
                <w:top w:val="nil"/>
                <w:left w:val="nil"/>
                <w:bottom w:val="nil"/>
                <w:right w:val="nil"/>
                <w:insideH w:val="nil"/>
                <w:insideV w:val="nil"/>
              </w:tblBorders>
            </w:tblPr>
            <w:tr>
              <w:tc>
                <w:tcPr>
                  <w:vAlign w:val="top"/>
                </w:tcPr>
                <w:p>
                  <w:pPr>
                    <w:keepNext/>
                    <w:keepLines/>
                    <w:spacing w:before="0" w:after="0" w:lineRule="atLeast" w:line="225"/>
                    <w:ind w:hanging="0"/>
                    <w:jc w:val="left"/>
                    <w:rPr>
                      <w:rFonts w:ascii="arial" w:eastAsia="arial" w:hAnsi="arial" w:cs="arial"/>
                      <w:b w:val="false"/>
                      <w:bCs w:val="false"/>
                      <w:i w:val="false"/>
                      <w:sz w:val="16"/>
                      <w:szCs w:val="16"/>
                    </w:rPr>
                  </w:pPr>
                  <w:r>
                    <w:drawing>
                      <wp:inline>
                        <wp:extent cx="6667500" cy="3704167"/>
                        <wp:docPr id="63" name="Picture 63"/>
                        <a:graphic xmlns:a="http://schemas.openxmlformats.org/drawingml/2006/main">
                          <a:graphicData uri="http://schemas.openxmlformats.org/drawingml/2006/picture">
                            <pic:pic xmlns:pic="http://schemas.openxmlformats.org/drawingml/2006/picture">
                              <pic:nvPicPr>
                                <pic:cNvPr id="64" name="Picture 64"/>
                                <pic:cNvPicPr/>
                              </pic:nvPicPr>
                              <pic:blipFill>
                                <a:blip r:embed="PictureId30" cstate="print"/>
                                <a:stretch>
                                  <a:fillRect/>
                                </a:stretch>
                              </pic:blipFill>
                              <pic:spPr>
                                <a:xfrm>
                                  <a:off x="0" y="0"/>
                                  <a:ext cx="6667500" cy="3704167"/>
                                </a:xfrm>
                                <a:prstGeom prst="rect">
                                  <a:avLst/>
                                </a:prstGeom>
                              </pic:spPr>
                            </pic:pic>
                          </a:graphicData>
                        </a:graphic>
                      </wp:inline>
                    </w:drawing>
                  </w:r>
                </w:p>
              </w:tc>
            </w:tr>
          </w:tbl>
          <w:p>
            <w:pPr>
              <w:keepNext/>
              <w:keepLines/>
              <w:spacing w:before="0" w:after="0" w:lineRule="atLeast" w:line="225"/>
              <w:ind w:hanging="0"/>
              <w:jc w:val="left"/>
              <w:rPr>
                <w:rFonts w:ascii="arial" w:eastAsia="arial" w:hAnsi="arial" w:cs="arial"/>
                <w:b w:val="false"/>
                <w:bCs w:val="false"/>
                <w:i w:val="false"/>
                <w:sz w:val="16"/>
                <w:szCs w:val="16"/>
              </w:rPr>
            </w:pPr>
          </w:p>
          <w:tbl>
            <w:tblPr>
              <w:tblW w:w="5000" w:type="pct"/>
              <w:jc w:val="left"/>
              <w:tblBorders>
                <w:top w:val="nil"/>
                <w:left w:val="nil"/>
                <w:bottom w:val="nil"/>
                <w:right w:val="nil"/>
                <w:insideH w:val="nil"/>
                <w:insideV w:val="nil"/>
              </w:tblBorders>
            </w:tblP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10" w:name="_Toc11"/>
                  <w:r>
                    <w:rPr>
                      <w:rFonts w:ascii="arial" w:eastAsia="arial" w:hAnsi="arial" w:cs="arial"/>
                      <w:b/>
                      <w:bCs/>
                      <w:i w:val="false"/>
                      <w:color w:val="333333"/>
                      <w:spacing w:val="4"/>
                      <w:sz w:val="21"/>
                      <w:szCs w:val="21"/>
                    </w:rPr>
                    <w:t xml:space="preserve">Current </w:t>
                  </w:r>
                  <w:r>
                    <w:br/>
                  </w:r>
                  <w:r>
                    <w:rPr>
                      <w:rFonts w:ascii="arial" w:eastAsia="arial" w:hAnsi="arial" w:cs="arial"/>
                      <w:b/>
                      <w:bCs/>
                      <w:i w:val="false"/>
                      <w:color w:val="333333"/>
                      <w:spacing w:val="4"/>
                      <w:sz w:val="21"/>
                      <w:szCs w:val="21"/>
                    </w:rPr>
                    <w:t>Performance</w:t>
                  </w:r>
                  <w:bookmarkEnd w:id="10"/>
                </w:p>
              </w:tc>
              <w:tc>
                <w:tcPr>
                  <w:tcW w:w="4000" w:type="pct"/>
                  <w:vAlign w:val="top"/>
                </w:tcPr>
                <w:p>
                  <w:pPr>
                    <w:keepNext/>
                    <w:keepLines/>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The Men's Clothing Stores industry comprises retailers that exclusively sell men's clothing, with the majority of sales generated through casual wear, office apparel and formal attire.</w:t>
                  </w:r>
                </w:p>
                <w:p>
                  <w:pPr>
                    <w:keepNext/>
                    <w:keepLines/>
                    <w:spacing w:before="0" w:after="0" w:lineRule="atLeast" w:line="225"/>
                    <w:ind w:left="0" w:right="0" w:hanging="0"/>
                    <w:jc w:val="left"/>
                    <w:rPr>
                      <w:rFonts w:ascii="arial" w:eastAsia="arial" w:hAnsi="arial" w:cs="arial"/>
                      <w:b w:val="false"/>
                      <w:bCs w:val="false"/>
                      <w:i w:val="false"/>
                      <w:sz w:val="16"/>
                      <w:szCs w:val="16"/>
                    </w:rPr>
                  </w:pPr>
                </w:p>
                <w:p>
                  <w:pPr>
                    <w:keepNext/>
                    <w:keepLines/>
                    <w:spacing w:before="0" w:after="30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Demand for office attire is highly dependent on employment levels. For the majority of the five years to 2020, unemployment has decreased, while high levels of per capita disposable income and consumer confidence have encouraged shoppers to spend more liberally on apparel, including suits for formal events. These positive macroeconomic factors have also enabled shoppers to trade up to luxury and premium-brand apparel.</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Nevertheless, demand has been pressured in recent years from high levels of external competition, most notably from e-commerce businesses. As the percentage of business conducted online increased at an annualized rate of 6.7% over the past five years, demand at the brick-and-mortar stores that operate in this industry contracted. Coupled with increasing competition, the outbreak of COVID-19 (coronavirus) has presented a large threat to operators as they were forced to close down their stores beginning in March for the foreseeable future, limiting their ability to generate revenue through in-store operations. As a result, industry revenue slipped into decline over the five years to 2020, falling at an annualized rate of 5.9% to $7.0 billion. This includes an expected 15.7% contraction in 2020 as e-commerce sales rise an estimated 20.0% over the year and the coronavirus pandemic continues to evolve.</w:t>
                  </w:r>
                </w:p>
                <w:p>
                  <w:pPr>
                    <w:keepNext/>
                    <w:keepLines/>
                    <w:spacing w:before="0" w:after="180" w:lineRule="atLeast" w:line="240"/>
                    <w:ind w:left="0" w:right="0" w:hanging="0"/>
                    <w:jc w:val="left"/>
                    <w:rPr>
                      <w:rFonts w:ascii="arial" w:eastAsia="arial" w:hAnsi="arial" w:cs="arial"/>
                      <w:b w:val="false"/>
                      <w:bCs w:val="false"/>
                      <w:i w:val="false"/>
                      <w:caps/>
                      <w:sz w:val="16"/>
                      <w:szCs w:val="16"/>
                    </w:rPr>
                  </w:pPr>
                  <w:r>
                    <w:rPr>
                      <w:rFonts w:ascii="arial" w:eastAsia="arial" w:hAnsi="arial" w:cs="arial"/>
                      <w:b/>
                      <w:bCs/>
                      <w:i w:val="false"/>
                      <w:caps/>
                      <w:sz w:val="18"/>
                      <w:szCs w:val="18"/>
                    </w:rPr>
                    <w:t>Economic trends</w:t>
                  </w:r>
                </w:p>
                <w:p>
                  <w:pPr>
                    <w:keepNext/>
                    <w:keepLines/>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The men's clothing purchased at industry establishments are considered highly discretionary because they are typically branded or tailored, which makes them more expensive for consumers.</w:t>
                  </w:r>
                </w:p>
                <w:p>
                  <w:pPr>
                    <w:keepNext/>
                    <w:keepLines/>
                    <w:spacing w:before="0" w:after="0" w:lineRule="atLeast" w:line="225"/>
                    <w:ind w:left="0" w:right="0" w:hanging="0"/>
                    <w:jc w:val="left"/>
                    <w:rPr>
                      <w:rFonts w:ascii="arial" w:eastAsia="arial" w:hAnsi="arial" w:cs="arial"/>
                      <w:b w:val="false"/>
                      <w:bCs w:val="false"/>
                      <w:i w:val="false"/>
                      <w:sz w:val="16"/>
                      <w:szCs w:val="16"/>
                    </w:rPr>
                  </w:pPr>
                </w:p>
                <w:p>
                  <w:pPr>
                    <w:keepNext/>
                    <w:keepLines/>
                    <w:spacing w:before="0" w:after="30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Therefore, as the economic environment has grown for the majority of the five-year period as a result of climbing disposable income and higher consumer confidence, the Men's Clothing Stores industry has reaped some benefits. Per capita disposable income is expected to grow at an annualized rate of 2.8% over the five years to 2020, which has enabled consumers to splurge on men's apparel. Additionally, the Consumer Confidence Index, which measures consumer perceptions and expectations of economic conditions, has grown considerably during the majority of the five-year period, specifically between 2015 and 2018, and has encouraged consumers to purchase price-premium products. Together, these factors have boosted consumer spending on apparel during the majority of the five-year period.</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The unemployment rate in the United States decreased from 5.3% in 2015 to 3.7% in 2019, which further boosted demand for men's apparel. Demand conditions are tied to employment levels because consumers are more likely to demand office attire from industry establishments when they have a steady job. This has encouraged several luxury brands to open men's-only clothing stores to capture a share of the increased demand for office and formal wear. In recent years, brands including Bottega Veneta and Lanvin have opened their first men's-only stores on Madison Avenue in New York City. Increased competition from high-profile brands has encouraged other industry operators to spend more on marketing and relocate to areas with heavy foot traffic where rent is often more expensive. These expenses have hampered industry profit over the past five years. In 2020, IBISWorld estimates the average industry profit margin, measured as earnings before interest and taxes, will account for 0.9% of revenue, down from 2.7% in 2015.</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In response to companies such as Lanvin tapping into this industry, incumbent industry operators have increasingly worked to expand their product mixes and market presences to better compete. For example, in 2014, Tailored Brands Inc. (Tailored Brands) acquired Jos. A. Bank Clothiers Inc. in an attempt to tap into a wider range of markets and strengthen the company's influence in the Men's Clothing Stores industry. IBISWorld estimates that the company's market share will stand at 10.1% in 2020, making it the largest player in the Men's Clothing Stores industry.</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Additionally, as online competitors have taken market share away from industry operators, companies have ceased expansion efforts and shuttered some locations. Over the five years to 2020, the number of industry locations declined at an annualized rate of 2.3% from 12,084 establishments to an estimated 10,784 establishments. Similarly, employment has declined at an annualized rate of 2.7% to 50,322 workers, as enterprises slimmed down their operations.</w:t>
                  </w:r>
                </w:p>
                <w:p>
                  <w:pPr>
                    <w:keepNext/>
                    <w:keepLines/>
                    <w:spacing w:before="0" w:after="180" w:lineRule="atLeast" w:line="240"/>
                    <w:ind w:left="0" w:right="0" w:hanging="0"/>
                    <w:jc w:val="left"/>
                    <w:rPr>
                      <w:rFonts w:ascii="arial" w:eastAsia="arial" w:hAnsi="arial" w:cs="arial"/>
                      <w:b w:val="false"/>
                      <w:bCs w:val="false"/>
                      <w:i w:val="false"/>
                      <w:caps/>
                      <w:sz w:val="16"/>
                      <w:szCs w:val="16"/>
                    </w:rPr>
                  </w:pPr>
                  <w:r>
                    <w:rPr>
                      <w:rFonts w:ascii="arial" w:eastAsia="arial" w:hAnsi="arial" w:cs="arial"/>
                      <w:b/>
                      <w:bCs/>
                      <w:i w:val="false"/>
                      <w:caps/>
                      <w:sz w:val="18"/>
                      <w:szCs w:val="18"/>
                    </w:rPr>
                    <w:t>Competition from all angles</w:t>
                  </w:r>
                </w:p>
                <w:p>
                  <w:pPr>
                    <w:keepNext/>
                    <w:keepLines/>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While major brands such as Joseph Abboud, a previous subsidiary of Tailored Brands that was sold to WHP Global in March 2020, have found their place in the industry by serving a niche high-end market, the majority of men's apparel retailers compete on price and convenience.</w:t>
                  </w:r>
                </w:p>
                <w:p>
                  <w:pPr>
                    <w:keepNext/>
                    <w:keepLines/>
                    <w:spacing w:before="0" w:after="0" w:lineRule="atLeast" w:line="225"/>
                    <w:ind w:left="0" w:right="0" w:hanging="0"/>
                    <w:jc w:val="left"/>
                    <w:rPr>
                      <w:rFonts w:ascii="arial" w:eastAsia="arial" w:hAnsi="arial" w:cs="arial"/>
                      <w:b w:val="false"/>
                      <w:bCs w:val="false"/>
                      <w:i w:val="false"/>
                      <w:sz w:val="16"/>
                      <w:szCs w:val="16"/>
                    </w:rPr>
                  </w:pPr>
                </w:p>
                <w:p>
                  <w:pPr>
                    <w:keepNext/>
                    <w:keepLines/>
                    <w:spacing w:before="0" w:after="30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External competition from department stores, such as Macy's Inc. (Macy's) and Nordstrom Inc., has been strong in this area. Since department stores offer a variety of clothing options for men and women, they represent an easily accessible one-stop shop. Department stores also offer exclusive brands (e.g. Alfani at Macy's) at generally lower prices for similar items found at men's specialty retailers, such as the Men's Wearhouse, which is a subsidiary of Tailored Brands.</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Nonetheless, competition from online-only retailers has pushed industry revenue into a slow decline over the five years to 2020. Internet retailers offer easy price comparison for various products and enable convenience and time savings through shipping services. Online retailers can often sell their products at lower prices while maintaining favorable returns because they do not incur costs associated with retail space and related employees. Some online retailers have opened up brick-and-mortar showrooms, enabling customers to try on products before ordering online. This new retail model attempts to strike the perfect balance between offline and online retail to generate as many sales as possible. As a result, brick-and-mortar men's clothing stores have experienced mounting pressure from all types of online retailers. Even operators that run e-commerce sites must compete with internet giants, such as Amazon.com Inc., that stock or contract highly diverse inventories that cater to a wide range of consumers. Lastly, many online companies are also vertically integrating with the upstream Men's and Boys' Apparel Manufacturing industry (IBISWorld report 31522) to further reduce their costs. Vertically integrated companies that sell directly to customers pose a growing threat to traditional operators that are too small to vertically integrate.</w:t>
                  </w:r>
                </w:p>
                <w:p>
                  <w:pPr>
                    <w:keepNext/>
                    <w:keepLines/>
                    <w:spacing w:before="0" w:after="180" w:lineRule="atLeast" w:line="240"/>
                    <w:ind w:left="0" w:right="0" w:hanging="0"/>
                    <w:jc w:val="left"/>
                    <w:rPr>
                      <w:rFonts w:ascii="arial" w:eastAsia="arial" w:hAnsi="arial" w:cs="arial"/>
                      <w:b w:val="false"/>
                      <w:bCs w:val="false"/>
                      <w:i w:val="false"/>
                      <w:caps/>
                      <w:sz w:val="16"/>
                      <w:szCs w:val="16"/>
                    </w:rPr>
                  </w:pPr>
                  <w:r>
                    <w:rPr>
                      <w:rFonts w:ascii="arial" w:eastAsia="arial" w:hAnsi="arial" w:cs="arial"/>
                      <w:b/>
                      <w:bCs/>
                      <w:i w:val="false"/>
                      <w:caps/>
                      <w:sz w:val="18"/>
                      <w:szCs w:val="18"/>
                    </w:rPr>
                    <w:t>COVID-19</w:t>
                  </w:r>
                </w:p>
                <w:p>
                  <w:pPr>
                    <w:keepNext/>
                    <w:keepLines/>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The same macroeconomic conditions that have mitigated further declines in the industry are the same drivers that are presenting a large threat to industry operators during the outbreak of the coronavirus.</w:t>
                  </w:r>
                </w:p>
                <w:p>
                  <w:pPr>
                    <w:keepNext/>
                    <w:keepLines/>
                    <w:spacing w:before="0" w:after="0" w:lineRule="atLeast" w:line="225"/>
                    <w:ind w:left="0" w:right="0" w:hanging="0"/>
                    <w:jc w:val="left"/>
                    <w:rPr>
                      <w:rFonts w:ascii="arial" w:eastAsia="arial" w:hAnsi="arial" w:cs="arial"/>
                      <w:b w:val="false"/>
                      <w:bCs w:val="false"/>
                      <w:i w:val="false"/>
                      <w:sz w:val="16"/>
                      <w:szCs w:val="16"/>
                    </w:rPr>
                  </w:pPr>
                </w:p>
                <w:p>
                  <w:pPr>
                    <w:keepNext/>
                    <w:keepLines/>
                    <w:spacing w:before="0" w:after="24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In compliance with shelter-in-place and social distancing orders, the majority of nonessential businesses have closed in mid-March. The majority of retail stores, including establishments in the Men's Clothing Stores industry, are considered nonessential, and therefore have been closed, limiting any revenue generation through in-store purchases. Many retail stores have begun re-opening, depending on state-specific legislation, however, they are still operating at strict capacity limits. On top of store closures, the economic uncertainty surrounding the global pandemic has led consumer confidence to drop significantly, causing disposable income and consumer spending to decline in 2020. Therefore, even when stores reopen, consumers will likely continue cutting discretionary spending until confidence in the economy returns. Furthermore, since unemployment is so high as a result of many job cuts across the entire economy, demand for work apparel, including suits, sport coats and office wear, has also decreased. These products account for 39.1% of industry revenue in 2020, and therefore a decrease in demand for this specific segment is detrimental to industry operators. The situation is still ongoing and therefore the full effect of the coronavirus pandemic on industry operators is relatively unknown.</w:t>
                  </w:r>
                </w:p>
              </w:tc>
            </w:tr>
          </w:tbl>
          <w:p>
            <w:pPr/>
          </w:p>
        </w:tc>
      </w:tr>
    </w:tbl>
    <w:p>
      <w:pPr>
        <w:spacing w:before="0" w:after="0" w:lineRule="atLeast" w:line="225"/>
        <w:ind w:hanging="0"/>
        <w:jc w:val="left"/>
        <w:rPr>
          <w:rFonts w:ascii="arial" w:eastAsia="arial" w:hAnsi="arial" w:cs="arial"/>
          <w:b w:val="false"/>
          <w:bCs w:val="false"/>
          <w:i w:val="false"/>
          <w:sz w:val="16"/>
          <w:szCs w:val="16"/>
        </w:rPr>
      </w:pPr>
      <w:r>
        <w:br/>
      </w:r>
    </w:p>
    <w:tbl>
      <w:tblPr>
        <w:tblW w:w="5000" w:type="pct"/>
        <w:jc w:val="left"/>
        <w:tblBorders>
          <w:top w:val="nil"/>
          <w:left w:val="nil"/>
          <w:bottom w:val="nil"/>
          <w:right w:val="nil"/>
          <w:insideH w:val="nil"/>
          <w:insideV w:val="nil"/>
        </w:tblBorders>
      </w:tblPr>
      <w:tr>
        <w:tc>
          <w:tcPr>
            <w:vAlign w:val="top"/>
          </w:tcPr>
          <w:p>
            <w:pPr>
              <w:keepNext/>
              <w:keepLines/>
              <w:shd w:val="clear" w:fill="FAFAFA"/>
              <w:spacing w:before="120" w:after="0" w:lineRule="atLeast" w:line="240"/>
              <w:ind w:hanging="0"/>
              <w:jc w:val="center"/>
              <w:rPr>
                <w:rFonts w:ascii="arial" w:eastAsia="arial" w:hAnsi="arial" w:cs="arial"/>
                <w:b/>
                <w:bCs/>
                <w:i w:val="false"/>
                <w:color w:val="333333"/>
                <w:spacing w:val="4"/>
                <w:sz w:val="21"/>
                <w:szCs w:val="21"/>
              </w:rPr>
            </w:pPr>
            <w:r>
              <w:rPr>
                <w:rFonts w:ascii="arial" w:eastAsia="arial" w:hAnsi="arial" w:cs="arial"/>
                <w:b/>
                <w:bCs/>
                <w:i w:val="false"/>
                <w:color w:val="333333"/>
                <w:spacing w:val="4"/>
                <w:sz w:val="21"/>
                <w:szCs w:val="21"/>
              </w:rPr>
              <w:t>Historical Performance Data</w:t>
            </w:r>
          </w:p>
          <w:tbl>
            <w:tblPr>
              <w:jc w:val="left"/>
              <w:tblCellSpacing w:w="0" w:type="dxa"/>
              <w:tblBorders>
                <w:top w:val="nil"/>
                <w:left w:val="nil"/>
                <w:bottom w:val="nil"/>
                <w:right w:val="nil"/>
                <w:insideH w:val="nil"/>
                <w:insideV w:val="nil"/>
              </w:tblBorders>
              <w:shd w:val="clear" w:fill="FAFAFA"/>
            </w:tblPr>
            <w:tr>
              <w:trPr>
                <w:tblHeader/>
              </w:trPr>
              <w:tc>
                <w:tcPr>
                  <w:tcW w:w="81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Year</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Revenue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IVA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Establishments </w:t>
                  </w:r>
                  <w:r>
                    <w:br/>
                  </w:r>
                  <w:r>
                    <w:rPr>
                      <w:rFonts w:ascii="arial" w:eastAsia="arial" w:hAnsi="arial" w:cs="arial"/>
                      <w:b/>
                      <w:bCs/>
                      <w:i w:val="false"/>
                      <w:sz w:val="15"/>
                      <w:szCs w:val="15"/>
                    </w:rPr>
                    <w:t>(Units)</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Enterprises </w:t>
                  </w:r>
                  <w:r>
                    <w:br/>
                  </w:r>
                  <w:r>
                    <w:rPr>
                      <w:rFonts w:ascii="arial" w:eastAsia="arial" w:hAnsi="arial" w:cs="arial"/>
                      <w:b/>
                      <w:bCs/>
                      <w:i w:val="false"/>
                      <w:sz w:val="15"/>
                      <w:szCs w:val="15"/>
                    </w:rPr>
                    <w:t>(Units)</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Employment </w:t>
                  </w:r>
                  <w:r>
                    <w:br/>
                  </w:r>
                  <w:r>
                    <w:rPr>
                      <w:rFonts w:ascii="arial" w:eastAsia="arial" w:hAnsi="arial" w:cs="arial"/>
                      <w:b/>
                      <w:bCs/>
                      <w:i w:val="false"/>
                      <w:sz w:val="15"/>
                      <w:szCs w:val="15"/>
                    </w:rPr>
                    <w:t>(People)</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Exports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Imports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Wages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Domestic</w:t>
                  </w:r>
                  <w:r>
                    <w:br/>
                  </w:r>
                  <w:r>
                    <w:rPr>
                      <w:rFonts w:ascii="arial" w:eastAsia="arial" w:hAnsi="arial" w:cs="arial"/>
                      <w:b/>
                      <w:bCs/>
                      <w:i w:val="false"/>
                      <w:sz w:val="15"/>
                      <w:szCs w:val="15"/>
                    </w:rPr>
                    <w:t xml:space="preserve">Demand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Per Capita Disposable Income </w:t>
                  </w:r>
                  <w:r>
                    <w:br/>
                  </w:r>
                  <w:r>
                    <w:rPr>
                      <w:rFonts w:ascii="arial" w:eastAsia="arial" w:hAnsi="arial" w:cs="arial"/>
                      <w:b/>
                      <w:bCs/>
                      <w:i w:val="false"/>
                      <w:sz w:val="15"/>
                      <w:szCs w:val="15"/>
                    </w:rPr>
                    <w:t>($)</w:t>
                  </w:r>
                </w:p>
              </w:tc>
            </w:tr>
            <w:tr>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2011</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9,093</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2,054</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11,599</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8,118</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56,310</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1,545</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38,780</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9,389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2,494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12,265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8,401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63,591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1,828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39,784</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9,671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2,192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11,570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8,255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58,656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1,602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39,004</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9,715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2,066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11,948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8,620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61,502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1,658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40,310</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9,549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2,036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12,084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8,817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57,688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1,692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41,670</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9,113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1,884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12,015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8,729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57,439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1,647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42,108</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8,738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1,915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11,909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8,696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60,260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1,653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43,056</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8,437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1,860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11,582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8,532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56,822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1,641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44,521</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8,340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1,812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11,548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8,517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56,498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1,629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45,594</w:t>
                  </w:r>
                </w:p>
              </w:tc>
            </w:tr>
            <w:tr>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2020</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7,033</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1,564</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10,784</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8,012</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50,322</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1,436</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44,844</w:t>
                  </w:r>
                </w:p>
              </w:tc>
            </w:tr>
          </w:tbl>
          <w:p>
            <w:pPr/>
          </w:p>
        </w:tc>
      </w:tr>
    </w:tbl>
    <w:p>
      <w:pPr>
        <w:sectPr>
          <w:headerReference w:type="default" r:id="gemHfRid43"/>
          <w:footerReference w:type="default" r:id="gemHfRid44"/>
          <w:pgSz w:w="11907" w:h="16839" w:code="9"/>
          <w:pgMar w:top="640" w:right="640" w:bottom="640" w:left="640" w:header="0" w:footer="0" w:gutter="0"/>
          <w:cols w:space="708"/>
          <w:docGrid w:linePitch="360"/>
        </w:sectPr>
      </w:pPr>
    </w:p>
    <w:p>
      <w:pPr>
        <w:pStyle w:val="heading 1"/>
        <w:spacing w:before="0" w:after="240" w:lineRule="atLeast" w:line="420"/>
        <w:ind w:left="0" w:right="0" w:hanging="0"/>
        <w:jc w:val="left"/>
        <w:rPr>
          <w:rFonts w:ascii="arial" w:eastAsia="arial" w:hAnsi="arial" w:cs="arial"/>
          <w:b w:val="false"/>
          <w:bCs w:val="false"/>
          <w:i w:val="false"/>
          <w:color w:val="333333"/>
          <w:sz w:val="36"/>
          <w:szCs w:val="36"/>
        </w:rPr>
      </w:pPr>
      <w:bookmarkStart w:id="11" w:name="_Toc12"/>
      <w:r>
        <w:rPr>
          <w:rFonts w:ascii="arial" w:eastAsia="arial" w:hAnsi="arial" w:cs="arial"/>
          <w:b w:val="false"/>
          <w:bCs w:val="false"/>
          <w:i w:val="false"/>
          <w:color w:val="333333"/>
          <w:sz w:val="36"/>
          <w:szCs w:val="36"/>
        </w:rPr>
        <w:t>Industry Outlook</w:t>
      </w:r>
      <w:bookmarkEnd w:id="11"/>
    </w:p>
    <w:tbl>
      <w:tblPr>
        <w:tblW w:w="5000" w:type="pct"/>
        <w:jc w:val="left"/>
        <w:tblBorders>
          <w:top w:val="nil"/>
          <w:left w:val="nil"/>
          <w:bottom w:val="nil"/>
          <w:right w:val="nil"/>
          <w:insideH w:val="nil"/>
          <w:insideV w:val="nil"/>
        </w:tblBorders>
      </w:tblP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12" w:name="_Toc13"/>
            <w:r>
              <w:rPr>
                <w:rFonts w:ascii="arial" w:eastAsia="arial" w:hAnsi="arial" w:cs="arial"/>
                <w:b/>
                <w:bCs/>
                <w:i w:val="false"/>
                <w:color w:val="333333"/>
                <w:spacing w:val="4"/>
                <w:sz w:val="21"/>
                <w:szCs w:val="21"/>
              </w:rPr>
              <w:t>Outlook</w:t>
            </w:r>
            <w:bookmarkEnd w:id="12"/>
          </w:p>
        </w:tc>
        <w:tc>
          <w:tcPr>
            <w:tcW w:w="4000" w:type="pct"/>
            <w:vAlign w:val="top"/>
          </w:tcPr>
          <w:p>
            <w:pPr>
              <w:keepNext/>
              <w:keepLines/>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Revenue for the Men's Clothing Stores industry is forecast to rebound over the five years to 2025, increasing slightly at an annualized rate of 1.1% to total $7.4 billion.</w:t>
            </w:r>
          </w:p>
          <w:p>
            <w:pPr>
              <w:keepNext/>
              <w:keepLines/>
              <w:spacing w:before="0" w:after="0" w:lineRule="atLeast" w:line="225"/>
              <w:ind w:left="0" w:right="0" w:hanging="0"/>
              <w:jc w:val="left"/>
              <w:rPr>
                <w:rFonts w:ascii="arial" w:eastAsia="arial" w:hAnsi="arial" w:cs="arial"/>
                <w:b w:val="false"/>
                <w:bCs w:val="false"/>
                <w:i w:val="false"/>
                <w:sz w:val="16"/>
                <w:szCs w:val="16"/>
              </w:rPr>
            </w:pPr>
          </w:p>
          <w:p>
            <w:pPr>
              <w:keepNext/>
              <w:keepLines/>
              <w:spacing w:before="0" w:after="300" w:lineRule="atLeast" w:line="225"/>
              <w:ind w:left="0" w:right="0" w:hanging="0"/>
              <w:jc w:val="left"/>
              <w:rPr>
                <w:rFonts w:ascii="arial" w:eastAsia="arial" w:hAnsi="arial" w:cs="arial"/>
                <w:b w:val="false"/>
                <w:bCs w:val="false"/>
                <w:i w:val="false"/>
                <w:sz w:val="16"/>
                <w:szCs w:val="16"/>
              </w:rPr>
            </w:pPr>
            <w:r>
              <w:drawing>
                <wp:anchor distT="0" distB="0" distL="115200" distR="115200" simplePos="false" relativeHeight="251659264" behindDoc="false" locked="false" layoutInCell="true" allowOverlap="true">
                  <wp:simplePos x="0" y="0"/>
                  <wp:positionH relativeFrom="margin">
                    <wp:align>right</wp:align>
                  </wp:positionH>
                  <wp:positionV relativeFrom="paragraph">
                    <wp:posOffset>0</wp:posOffset>
                  </wp:positionV>
                  <wp:extent cx="2381250" cy="2381250"/>
                  <wp:wrapSquare wrapText="bothSides"/>
                  <wp:docPr id="65" name="Picture 65"/>
                  <a:graphic xmlns:a="http://schemas.openxmlformats.org/drawingml/2006/main">
                    <a:graphicData uri="http://schemas.openxmlformats.org/drawingml/2006/picture">
                      <pic:pic xmlns:pic="http://schemas.openxmlformats.org/drawingml/2006/picture">
                        <pic:nvPicPr>
                          <pic:cNvPr id="66" name="Picture 66"/>
                          <pic:cNvPicPr/>
                        </pic:nvPicPr>
                        <pic:blipFill>
                          <a:blip r:embed="PictureId31" cstate="print"/>
                          <a:stretch>
                            <a:fillRect/>
                          </a:stretch>
                        </pic:blipFill>
                        <pic:spPr>
                          <a:xfrm>
                            <a:off x="0" y="0"/>
                            <a:ext cx="2381250" cy="2381250"/>
                          </a:xfrm>
                          <a:prstGeom prst="rect">
                            <a:avLst/>
                          </a:prstGeom>
                        </pic:spPr>
                      </pic:pic>
                    </a:graphicData>
                  </a:graphic>
                </wp:anchor>
              </w:drawing>
            </w:r>
            <w:r>
              <w:rPr>
                <w:rFonts w:ascii="arial" w:eastAsia="arial" w:hAnsi="arial" w:cs="arial"/>
                <w:b w:val="false"/>
                <w:bCs w:val="false"/>
                <w:i w:val="false"/>
                <w:sz w:val="16"/>
                <w:szCs w:val="16"/>
              </w:rPr>
              <w:t>The industry is projected to experience growth during the outlook period as economic trends, such as consumer confidence, increase as the economy rebounds from the outbreak of COVID-19 (coronavirus). However, increased competition from online retailers of men's clothing and discount stores will continue to further pressure industry revenue, limiting further growth. Overall, the upward trajectory of the overall economy and resulting improvements in per capita disposable income will help boost industry revenue.</w:t>
            </w:r>
          </w:p>
          <w:p>
            <w:pPr>
              <w:keepNext/>
              <w:keepLines/>
              <w:spacing w:before="0" w:after="180" w:lineRule="atLeast" w:line="240"/>
              <w:ind w:left="0" w:right="0" w:hanging="0"/>
              <w:jc w:val="left"/>
              <w:rPr>
                <w:rFonts w:ascii="arial" w:eastAsia="arial" w:hAnsi="arial" w:cs="arial"/>
                <w:b w:val="false"/>
                <w:bCs w:val="false"/>
                <w:i w:val="false"/>
                <w:caps/>
                <w:sz w:val="16"/>
                <w:szCs w:val="16"/>
              </w:rPr>
            </w:pPr>
            <w:r>
              <w:rPr>
                <w:rFonts w:ascii="arial" w:eastAsia="arial" w:hAnsi="arial" w:cs="arial"/>
                <w:b/>
                <w:bCs/>
                <w:i w:val="false"/>
                <w:caps/>
                <w:sz w:val="18"/>
                <w:szCs w:val="18"/>
              </w:rPr>
              <w:t>Operating landscape</w:t>
            </w:r>
          </w:p>
          <w:p>
            <w:pPr>
              <w:keepNext/>
              <w:keepLines/>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Similar to the five years to 2020, companies are anticipated to continue merger and acquisition (M&amp;A) activity over the five years to 2025.</w:t>
            </w:r>
          </w:p>
          <w:p>
            <w:pPr>
              <w:keepNext/>
              <w:keepLines/>
              <w:spacing w:before="0" w:after="0" w:lineRule="atLeast" w:line="225"/>
              <w:ind w:left="0" w:right="0" w:hanging="0"/>
              <w:jc w:val="left"/>
              <w:rPr>
                <w:rFonts w:ascii="arial" w:eastAsia="arial" w:hAnsi="arial" w:cs="arial"/>
                <w:b w:val="false"/>
                <w:bCs w:val="false"/>
                <w:i w:val="false"/>
                <w:sz w:val="16"/>
                <w:szCs w:val="16"/>
              </w:rPr>
            </w:pPr>
          </w:p>
          <w:p>
            <w:pPr>
              <w:keepNext/>
              <w:keepLines/>
              <w:spacing w:before="0" w:after="30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Large powerful players, such as Tailored Brands Inc., will likely expand their brand portfolios and gain market share by acquiring smaller operators that fit within the aesthetic of their existing brands. By operating more locations and offering a wider range of products, companies in the industry are expected to expand their reach. This M&amp;A activity will likely lead to a steady decline in the number of companies operating in the industry. Over the five years to 2025, IBISWorld anticipates that the number of industry enterprises will decline at an annualized rate of 0.4%, totaling 7,864 operators.</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As the industry consolidates and companies streamline their operations, growth in the number of industry employees is also expected to be limited. Over the five years to 2025, IBISWorld estimates that the number of industry workers will increase slightly at an annualized rate of 0.3%, totaling 50,974 employees. This growth is mainly a result of the likely influx of part time workers as operators attempt to cut costs and make up for profit losses in 2020.</w:t>
            </w:r>
          </w:p>
          <w:p>
            <w:pPr>
              <w:keepNext/>
              <w:keepLines/>
              <w:spacing w:before="0" w:after="180" w:lineRule="atLeast" w:line="240"/>
              <w:ind w:left="0" w:right="0" w:hanging="0"/>
              <w:jc w:val="left"/>
              <w:rPr>
                <w:rFonts w:ascii="arial" w:eastAsia="arial" w:hAnsi="arial" w:cs="arial"/>
                <w:b w:val="false"/>
                <w:bCs w:val="false"/>
                <w:i w:val="false"/>
                <w:caps/>
                <w:sz w:val="16"/>
                <w:szCs w:val="16"/>
              </w:rPr>
            </w:pPr>
            <w:r>
              <w:rPr>
                <w:rFonts w:ascii="arial" w:eastAsia="arial" w:hAnsi="arial" w:cs="arial"/>
                <w:b/>
                <w:bCs/>
                <w:i w:val="false"/>
                <w:caps/>
                <w:sz w:val="18"/>
                <w:szCs w:val="18"/>
              </w:rPr>
              <w:t>Competitive environment</w:t>
            </w:r>
          </w:p>
          <w:p>
            <w:pPr>
              <w:keepNext/>
              <w:keepLines/>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Consistently increasing external competition from online retailers will likely suppress value-based industry retailer performance over the five years to 2025, which will subsequently pressure profit.</w:t>
            </w:r>
          </w:p>
          <w:p>
            <w:pPr>
              <w:keepNext/>
              <w:keepLines/>
              <w:spacing w:before="0" w:after="0" w:lineRule="atLeast" w:line="225"/>
              <w:ind w:left="0" w:right="0" w:hanging="0"/>
              <w:jc w:val="left"/>
              <w:rPr>
                <w:rFonts w:ascii="arial" w:eastAsia="arial" w:hAnsi="arial" w:cs="arial"/>
                <w:b w:val="false"/>
                <w:bCs w:val="false"/>
                <w:i w:val="false"/>
                <w:sz w:val="16"/>
                <w:szCs w:val="16"/>
              </w:rPr>
            </w:pPr>
          </w:p>
          <w:p>
            <w:pPr>
              <w:keepNext/>
              <w:keepLines/>
              <w:spacing w:before="0" w:after="30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Online retailers can competitively price their products due to lower overhead costs, pulling demand away from operators that sell low- to mid-priced menswear and compete predominantly on the basis of price. This dichotomy is expected to pressure profit. Industry profit, defined as earnings before interest and taxes, is expected to account for 1.7% of revenue in 2025. While this is still low, profit margin is anticipated to increase over the next five years as demand, especially for higher price point items, increases in line with growing disposable income levels and consumer confidence. Additionally, a decline in the national unemployment rate will lead to increased demand for formal and office wear, as well as suits and sport coats, which are typically pricier items.</w:t>
            </w:r>
          </w:p>
          <w:p>
            <w:pPr>
              <w:keepNext/>
              <w:keepLines/>
              <w:spacing w:before="0" w:after="180" w:lineRule="atLeast" w:line="240"/>
              <w:ind w:left="0" w:right="0" w:hanging="0"/>
              <w:jc w:val="left"/>
              <w:rPr>
                <w:rFonts w:ascii="arial" w:eastAsia="arial" w:hAnsi="arial" w:cs="arial"/>
                <w:b w:val="false"/>
                <w:bCs w:val="false"/>
                <w:i w:val="false"/>
                <w:caps/>
                <w:sz w:val="16"/>
                <w:szCs w:val="16"/>
              </w:rPr>
            </w:pPr>
            <w:r>
              <w:rPr>
                <w:rFonts w:ascii="arial" w:eastAsia="arial" w:hAnsi="arial" w:cs="arial"/>
                <w:b/>
                <w:bCs/>
                <w:i w:val="false"/>
                <w:caps/>
                <w:sz w:val="18"/>
                <w:szCs w:val="18"/>
              </w:rPr>
              <w:t>Demographic changes</w:t>
            </w:r>
          </w:p>
          <w:p>
            <w:pPr>
              <w:keepNext/>
              <w:keepLines/>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Over the next five years, a large portion of the baby-boomer generation is expected to retire, limiting demand for men's attire from this market segment.</w:t>
            </w:r>
          </w:p>
          <w:p>
            <w:pPr>
              <w:keepNext/>
              <w:keepLines/>
              <w:spacing w:before="0" w:after="0" w:lineRule="atLeast" w:line="225"/>
              <w:ind w:left="0" w:right="0" w:hanging="0"/>
              <w:jc w:val="left"/>
              <w:rPr>
                <w:rFonts w:ascii="arial" w:eastAsia="arial" w:hAnsi="arial" w:cs="arial"/>
                <w:b w:val="false"/>
                <w:bCs w:val="false"/>
                <w:i w:val="false"/>
                <w:sz w:val="16"/>
                <w:szCs w:val="16"/>
              </w:rPr>
            </w:pPr>
          </w:p>
          <w:p>
            <w:pPr>
              <w:keepNext/>
              <w:keepLines/>
              <w:spacing w:before="0" w:after="30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Much of the workforce will likely be part of Generation X. Meanwhile, the majority of Generation Y will enter the workforce for the first time, largely offsetting the retirement rate. These demographic trends will likely change men's clothing stores' major markets. Demand from baby boomers will likely wane, while the industry's Generation X and Y market segments will have higher purchasing power, and thus, grow as a percentage of total revenue.</w:t>
            </w:r>
          </w:p>
          <w:p>
            <w:pPr>
              <w:keepNext/>
              <w:keepLines/>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This demographic shift will also likely lead to a slight alteration of the product mix this industry offers. Although many white-collar jobs currently require formal or casual business attire for the office, a growing number of companies are permitting their employees to dress casually. Many Generation Y career fields will continue to alter their dress codes to reflect a more casual work environment, spurring the casual attire product segment of this industry to expand as a share of revenue. Companies may also offer services such as custom tailoring to differentiate their casual attire from that of competitively priced department stores.</w:t>
            </w: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r>
              <w:br/>
            </w:r>
          </w:p>
        </w:tc>
      </w:tr>
      <w:tr>
        <w:tc>
          <w:tcPr>
            <w:tcW w:w="4000" w:type="pct"/>
            <w:gridSpan w:val="2"/>
            <w:vAlign w:val="top"/>
          </w:tcPr>
          <w:tbl>
            <w:tblPr>
              <w:tblW w:w="5000" w:type="pct"/>
              <w:jc w:val="left"/>
              <w:tblBorders>
                <w:top w:val="nil"/>
                <w:left w:val="nil"/>
                <w:bottom w:val="nil"/>
                <w:right w:val="nil"/>
                <w:insideH w:val="nil"/>
                <w:insideV w:val="nil"/>
              </w:tblBorders>
            </w:tblPr>
            <w:tr>
              <w:trPr>
                <w:cantSplit/>
              </w:trPr>
              <w:tc>
                <w:tcPr>
                  <w:tcW w:w="4000" w:type="pct"/>
                  <w:vAlign w:val="top"/>
                </w:tcPr>
                <w:p>
                  <w:pPr>
                    <w:keepNext/>
                    <w:keepLines/>
                    <w:shd w:val="clear" w:fill="FAFAFA"/>
                    <w:spacing w:before="120" w:after="0" w:lineRule="atLeast" w:line="240"/>
                    <w:ind w:hanging="0"/>
                    <w:jc w:val="center"/>
                    <w:rPr>
                      <w:rFonts w:ascii="arial" w:eastAsia="arial" w:hAnsi="arial" w:cs="arial"/>
                      <w:b/>
                      <w:bCs/>
                      <w:i w:val="false"/>
                      <w:color w:val="333333"/>
                      <w:spacing w:val="4"/>
                      <w:sz w:val="21"/>
                      <w:szCs w:val="21"/>
                    </w:rPr>
                  </w:pPr>
                  <w:r>
                    <w:rPr>
                      <w:rFonts w:ascii="arial" w:eastAsia="arial" w:hAnsi="arial" w:cs="arial"/>
                      <w:b/>
                      <w:bCs/>
                      <w:i w:val="false"/>
                      <w:color w:val="333333"/>
                      <w:spacing w:val="4"/>
                      <w:sz w:val="21"/>
                      <w:szCs w:val="21"/>
                    </w:rPr>
                    <w:t>Performance Outlook Data</w:t>
                  </w:r>
                </w:p>
                <w:tbl>
                  <w:tblPr>
                    <w:jc w:val="left"/>
                    <w:tblCellSpacing w:w="0" w:type="dxa"/>
                    <w:tblBorders>
                      <w:top w:val="nil"/>
                      <w:left w:val="nil"/>
                      <w:bottom w:val="nil"/>
                      <w:right w:val="nil"/>
                      <w:insideH w:val="nil"/>
                      <w:insideV w:val="nil"/>
                    </w:tblBorders>
                    <w:shd w:val="clear" w:fill="FAFAFA"/>
                  </w:tblPr>
                  <w:tr>
                    <w:trPr>
                      <w:tblHeader/>
                    </w:trPr>
                    <w:tc>
                      <w:tcPr>
                        <w:tcW w:w="81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Year</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Revenue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IVA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Establishments </w:t>
                        </w:r>
                        <w:r>
                          <w:br/>
                        </w:r>
                        <w:r>
                          <w:rPr>
                            <w:rFonts w:ascii="arial" w:eastAsia="arial" w:hAnsi="arial" w:cs="arial"/>
                            <w:b/>
                            <w:bCs/>
                            <w:i w:val="false"/>
                            <w:sz w:val="15"/>
                            <w:szCs w:val="15"/>
                          </w:rPr>
                          <w:t>(Units)</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Enterprises </w:t>
                        </w:r>
                        <w:r>
                          <w:br/>
                        </w:r>
                        <w:r>
                          <w:rPr>
                            <w:rFonts w:ascii="arial" w:eastAsia="arial" w:hAnsi="arial" w:cs="arial"/>
                            <w:b/>
                            <w:bCs/>
                            <w:i w:val="false"/>
                            <w:sz w:val="15"/>
                            <w:szCs w:val="15"/>
                          </w:rPr>
                          <w:t>(Units)</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Employment </w:t>
                        </w:r>
                        <w:r>
                          <w:br/>
                        </w:r>
                        <w:r>
                          <w:rPr>
                            <w:rFonts w:ascii="arial" w:eastAsia="arial" w:hAnsi="arial" w:cs="arial"/>
                            <w:b/>
                            <w:bCs/>
                            <w:i w:val="false"/>
                            <w:sz w:val="15"/>
                            <w:szCs w:val="15"/>
                          </w:rPr>
                          <w:t>(People)</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Exports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Imports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Wages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Domestic</w:t>
                        </w:r>
                        <w:r>
                          <w:br/>
                        </w:r>
                        <w:r>
                          <w:rPr>
                            <w:rFonts w:ascii="arial" w:eastAsia="arial" w:hAnsi="arial" w:cs="arial"/>
                            <w:b/>
                            <w:bCs/>
                            <w:i w:val="false"/>
                            <w:sz w:val="15"/>
                            <w:szCs w:val="15"/>
                          </w:rPr>
                          <w:t xml:space="preserve">Demand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Per Capita Disposable Income  ($)</w:t>
                        </w:r>
                      </w:p>
                    </w:tc>
                  </w:tr>
                  <w:tr>
                    <w:tc>
                      <w:tcPr>
                        <w:tcBorders>
                          <w:top w:val="single" w:sz="6" w:color="D07368"/>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2020</w:t>
                        </w:r>
                      </w:p>
                    </w:tc>
                    <w:tc>
                      <w:tcPr>
                        <w:tcBorders>
                          <w:top w:val="single" w:sz="6" w:color="D07368"/>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7,033</w:t>
                        </w:r>
                      </w:p>
                    </w:tc>
                    <w:tc>
                      <w:tcPr>
                        <w:tcBorders>
                          <w:top w:val="single" w:sz="6" w:color="D07368"/>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1,564</w:t>
                        </w:r>
                      </w:p>
                    </w:tc>
                    <w:tc>
                      <w:tcPr>
                        <w:tcBorders>
                          <w:top w:val="single" w:sz="6" w:color="D07368"/>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10,784</w:t>
                        </w:r>
                      </w:p>
                    </w:tc>
                    <w:tc>
                      <w:tcPr>
                        <w:tcBorders>
                          <w:top w:val="single" w:sz="6" w:color="D07368"/>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8,012</w:t>
                        </w:r>
                      </w:p>
                    </w:tc>
                    <w:tc>
                      <w:tcPr>
                        <w:tcBorders>
                          <w:top w:val="single" w:sz="6" w:color="D07368"/>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50,322</w:t>
                        </w:r>
                      </w:p>
                    </w:tc>
                    <w:tc>
                      <w:tcPr>
                        <w:tcBorders>
                          <w:top w:val="single" w:sz="6" w:color="D07368"/>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1,436</w:t>
                        </w:r>
                      </w:p>
                    </w:tc>
                    <w:tc>
                      <w:tcPr>
                        <w:tcBorders>
                          <w:top w:val="single" w:sz="6" w:color="D07368"/>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44,844</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7,133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1,722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10,799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8,020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50,619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1,447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45,088</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7,121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1,670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10,717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7,958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50,282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1,438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45,784</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7,215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1,742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10,681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7,923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50,514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1,447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47,111</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7,307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1,736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10,646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7,890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50,753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1,457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48,575</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7,410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1,671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10,621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7,864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50,974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1,466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50,187</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7,542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1,654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10,621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7,854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51,371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1,480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51,759</w:t>
                        </w:r>
                      </w:p>
                    </w:tc>
                  </w:tr>
                </w:tbl>
                <w:p>
                  <w:pPr/>
                </w:p>
              </w:tc>
            </w:tr>
          </w:tbl>
          <w:p>
            <w:pPr/>
          </w:p>
        </w:tc>
      </w:tr>
    </w:tbl>
    <w:p>
      <w:pPr>
        <w:spacing w:before="0" w:after="0" w:lineRule="atLeast" w:line="225"/>
        <w:ind w:hanging="0"/>
        <w:jc w:val="left"/>
        <w:rPr>
          <w:rFonts w:ascii="arial" w:eastAsia="arial" w:hAnsi="arial" w:cs="arial"/>
          <w:b w:val="false"/>
          <w:bCs w:val="false"/>
          <w:i w:val="false"/>
          <w:sz w:val="16"/>
          <w:szCs w:val="16"/>
        </w:rPr>
      </w:pPr>
      <w:r>
        <w:br/>
      </w:r>
    </w:p>
    <w:tbl>
      <w:tblPr>
        <w:tblW w:w="5000" w:type="pct"/>
        <w:jc w:val="left"/>
        <w:tblBorders>
          <w:top w:val="nil"/>
          <w:left w:val="nil"/>
          <w:bottom w:val="nil"/>
          <w:right w:val="nil"/>
          <w:insideH w:val="nil"/>
          <w:insideV w:val="nil"/>
        </w:tblBorders>
      </w:tblP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13" w:name="_Toc14"/>
            <w:r>
              <w:rPr>
                <w:rFonts w:ascii="arial" w:eastAsia="arial" w:hAnsi="arial" w:cs="arial"/>
                <w:b/>
                <w:bCs/>
                <w:i w:val="false"/>
                <w:color w:val="333333"/>
                <w:spacing w:val="4"/>
                <w:sz w:val="21"/>
                <w:szCs w:val="21"/>
              </w:rPr>
              <w:t>Industry Life Cycle</w:t>
            </w:r>
            <w:bookmarkEnd w:id="13"/>
          </w:p>
        </w:tc>
        <w:tc>
          <w:tcPr>
            <w:tcW w:w="4000" w:type="pct"/>
            <w:vAlign w:val="top"/>
          </w:tcPr>
          <w:p>
            <w:pPr>
              <w:keepNext/>
              <w:keepLines/>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 xml:space="preserve">The life cycle stage of this industry is </w:t>
            </w:r>
            <w:r>
              <w:rPr>
                <w:rFonts w:ascii="arial" w:eastAsia="arial" w:hAnsi="arial" w:cs="arial"/>
                <w:b w:val="false"/>
                <w:bCs w:val="false"/>
                <w:i w:val="false"/>
                <w:sz w:val="16"/>
                <w:szCs w:val="16"/>
              </w:rPr>
              <w:t xml:space="preserve"> </w:t>
            </w:r>
            <w:r>
              <w:drawing>
                <wp:inline>
                  <wp:extent cx="91440" cy="91440"/>
                  <wp:docPr id="67" name="Picture 67" descr="Neutral"/>
                  <a:graphic xmlns:a="http://schemas.openxmlformats.org/drawingml/2006/main">
                    <a:graphicData uri="http://schemas.openxmlformats.org/drawingml/2006/picture">
                      <pic:pic xmlns:pic="http://schemas.openxmlformats.org/drawingml/2006/picture">
                        <pic:nvPicPr>
                          <pic:cNvPr id="68" name="Picture 68"/>
                          <pic:cNvPicPr/>
                        </pic:nvPicPr>
                        <pic:blipFill>
                          <a:blip r:embed="PictureId32"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6"/>
                <w:szCs w:val="16"/>
              </w:rPr>
              <w:t xml:space="preserve">  </w:t>
            </w:r>
            <w:r>
              <w:rPr>
                <w:rFonts w:ascii="arial" w:eastAsia="arial" w:hAnsi="arial" w:cs="arial"/>
                <w:b/>
                <w:bCs/>
                <w:i w:val="false"/>
                <w:color w:val="F58232"/>
                <w:sz w:val="18"/>
                <w:szCs w:val="18"/>
              </w:rPr>
              <w:t>Mature</w:t>
            </w:r>
          </w:p>
          <w:p>
            <w:pPr>
              <w:keepNext/>
              <w:keepLines/>
              <w:spacing w:before="0" w:after="180" w:lineRule="atLeast" w:line="165"/>
              <w:ind w:left="0" w:right="0" w:hanging="0"/>
              <w:jc w:val="left"/>
              <w:rPr>
                <w:rFonts w:ascii="arial" w:eastAsia="arial" w:hAnsi="arial" w:cs="arial"/>
                <w:b w:val="false"/>
                <w:bCs w:val="false"/>
                <w:i w:val="false"/>
                <w:sz w:val="15"/>
                <w:szCs w:val="15"/>
              </w:rPr>
            </w:pPr>
            <w:r>
              <w:rPr>
                <w:rFonts w:ascii="arial" w:eastAsia="arial" w:hAnsi="arial" w:cs="arial"/>
                <w:b w:val="false"/>
                <w:bCs w:val="false"/>
                <w:i w:val="false"/>
                <w:sz w:val="15"/>
                <w:szCs w:val="15"/>
              </w:rPr>
              <w:t>LIFE CYCLE REASONS</w:t>
            </w:r>
          </w:p>
          <w:p>
            <w:pPr>
              <w:numPr>
                <w:ilvl w:val="0"/>
                <w:numId w:val="5"/>
              </w:numPr>
              <w:keepNext/>
              <w:keepLines/>
              <w:spacing w:before="0" w:after="120" w:lineRule="atLeast" w:line="225"/>
              <w:ind w:left="0" w:right="0" w:hanging="240"/>
              <w:jc w:val="left"/>
              <w:rPr>
                <w:rFonts w:ascii="arial" w:eastAsia="arial" w:hAnsi="arial" w:cs="arial"/>
                <w:b w:val="false"/>
                <w:bCs w:val="false"/>
                <w:i w:val="false"/>
                <w:sz w:val="16"/>
                <w:szCs w:val="16"/>
              </w:rPr>
            </w:pPr>
            <w:r>
              <w:rPr>
                <w:rFonts w:ascii="arial" w:eastAsia="arial" w:hAnsi="arial" w:cs="arial"/>
                <w:b/>
                <w:bCs/>
                <w:i w:val="false"/>
                <w:sz w:val="18"/>
                <w:szCs w:val="18"/>
              </w:rPr>
              <w:t>The industry has wholehearted market acceptance</w:t>
            </w:r>
          </w:p>
          <w:p>
            <w:pPr>
              <w:numPr>
                <w:ilvl w:val="0"/>
                <w:numId w:val="5"/>
              </w:numPr>
              <w:keepNext/>
              <w:keepLines/>
              <w:spacing w:before="0" w:after="120" w:lineRule="atLeast" w:line="225"/>
              <w:ind w:left="0" w:right="0" w:hanging="240"/>
              <w:jc w:val="left"/>
              <w:rPr>
                <w:rFonts w:ascii="arial" w:eastAsia="arial" w:hAnsi="arial" w:cs="arial"/>
                <w:b w:val="false"/>
                <w:bCs w:val="false"/>
                <w:i w:val="false"/>
                <w:sz w:val="16"/>
                <w:szCs w:val="16"/>
              </w:rPr>
            </w:pPr>
            <w:r>
              <w:rPr>
                <w:rFonts w:ascii="arial" w:eastAsia="arial" w:hAnsi="arial" w:cs="arial"/>
                <w:b/>
                <w:bCs/>
                <w:i w:val="false"/>
                <w:sz w:val="18"/>
                <w:szCs w:val="18"/>
              </w:rPr>
              <w:t>Fashion trends do not change quickly in men's apparel, making for a static product mix</w:t>
            </w:r>
          </w:p>
          <w:p>
            <w:pPr>
              <w:numPr>
                <w:ilvl w:val="0"/>
                <w:numId w:val="5"/>
              </w:numPr>
              <w:keepNext/>
              <w:keepLines/>
              <w:spacing w:before="0" w:after="240" w:lineRule="atLeast" w:line="225"/>
              <w:ind w:left="0" w:right="0" w:hanging="240"/>
              <w:jc w:val="left"/>
              <w:rPr>
                <w:rFonts w:ascii="arial" w:eastAsia="arial" w:hAnsi="arial" w:cs="arial"/>
                <w:b w:val="false"/>
                <w:bCs w:val="false"/>
                <w:i w:val="false"/>
                <w:sz w:val="16"/>
                <w:szCs w:val="16"/>
              </w:rPr>
            </w:pPr>
            <w:r>
              <w:rPr>
                <w:rFonts w:ascii="arial" w:eastAsia="arial" w:hAnsi="arial" w:cs="arial"/>
                <w:b/>
                <w:bCs/>
                <w:i w:val="false"/>
                <w:sz w:val="18"/>
                <w:szCs w:val="18"/>
              </w:rPr>
              <w:t>Men's clothing stores are a staple in the retail sector</w:t>
            </w:r>
          </w:p>
        </w:tc>
      </w:tr>
    </w:tbl>
    <w:p>
      <w:pPr>
        <w:spacing w:before="0" w:after="0"/>
        <w:rPr>
          <w:vanish/>
        </w:rPr>
      </w:pPr>
    </w:p>
    <w:tbl>
      <w:tblPr>
        <w:tblW w:w="5000" w:type="pct"/>
        <w:jc w:val="left"/>
        <w:tblBorders>
          <w:top w:val="nil"/>
          <w:left w:val="nil"/>
          <w:bottom w:val="nil"/>
          <w:right w:val="nil"/>
          <w:insideH w:val="nil"/>
          <w:insideV w:val="nil"/>
        </w:tblBorders>
      </w:tblPr>
      <w:tr>
        <w:tc>
          <w:tcPr>
            <w:vAlign w:val="top"/>
          </w:tcPr>
          <w:tbl>
            <w:tblPr>
              <w:tblW w:w="5000" w:type="pct"/>
              <w:jc w:val="left"/>
              <w:tblBorders>
                <w:top w:val="nil"/>
                <w:left w:val="nil"/>
                <w:bottom w:val="nil"/>
                <w:right w:val="nil"/>
                <w:insideH w:val="nil"/>
                <w:insideV w:val="nil"/>
              </w:tblBorders>
            </w:tblPr>
            <w:tr>
              <w:tc>
                <w:tcPr>
                  <w:vAlign w:val="top"/>
                </w:tcPr>
                <w:p>
                  <w:pPr>
                    <w:keepNext/>
                    <w:keepLines/>
                    <w:spacing w:before="0" w:after="0" w:lineRule="atLeast" w:line="225"/>
                    <w:ind w:hanging="0"/>
                    <w:jc w:val="left"/>
                    <w:rPr>
                      <w:rFonts w:ascii="arial" w:eastAsia="arial" w:hAnsi="arial" w:cs="arial"/>
                      <w:b w:val="false"/>
                      <w:bCs w:val="false"/>
                      <w:i w:val="false"/>
                      <w:sz w:val="16"/>
                      <w:szCs w:val="16"/>
                    </w:rPr>
                  </w:pPr>
                  <w:r>
                    <w:drawing>
                      <wp:inline>
                        <wp:extent cx="6477000" cy="3271212"/>
                        <wp:docPr id="69" name="Picture 69"/>
                        <a:graphic xmlns:a="http://schemas.openxmlformats.org/drawingml/2006/main">
                          <a:graphicData uri="http://schemas.openxmlformats.org/drawingml/2006/picture">
                            <pic:pic xmlns:pic="http://schemas.openxmlformats.org/drawingml/2006/picture">
                              <pic:nvPicPr>
                                <pic:cNvPr id="70" name="Picture 70"/>
                                <pic:cNvPicPr/>
                              </pic:nvPicPr>
                              <pic:blipFill>
                                <a:blip r:embed="PictureId33" cstate="print"/>
                                <a:stretch>
                                  <a:fillRect/>
                                </a:stretch>
                              </pic:blipFill>
                              <pic:spPr>
                                <a:xfrm>
                                  <a:off x="0" y="0"/>
                                  <a:ext cx="6477000" cy="3271212"/>
                                </a:xfrm>
                                <a:prstGeom prst="rect">
                                  <a:avLst/>
                                </a:prstGeom>
                              </pic:spPr>
                            </pic:pic>
                          </a:graphicData>
                        </a:graphic>
                      </wp:inline>
                    </w:drawing>
                  </w:r>
                </w:p>
              </w:tc>
            </w:tr>
          </w:tbl>
          <w:p>
            <w:pPr/>
          </w:p>
        </w:tc>
      </w:tr>
      <w:tr>
        <w:tc>
          <w:tcPr>
            <w:vAlign w:val="top"/>
          </w:tcPr>
          <w:tbl>
            <w:tblPr>
              <w:tblW w:w="5000" w:type="pct"/>
              <w:jc w:val="left"/>
              <w:tblBorders>
                <w:top w:val="nil"/>
                <w:left w:val="nil"/>
                <w:bottom w:val="nil"/>
                <w:right w:val="nil"/>
                <w:insideH w:val="nil"/>
                <w:insideV w:val="nil"/>
              </w:tblBorders>
            </w:tblPr>
            <w:tr>
              <w:tc>
                <w:tcPr>
                  <w:tcW w:w="1000" w:type="pct"/>
                  <w:vAlign w:val="top"/>
                </w:tcPr>
                <w:p>
                  <w:pPr>
                    <w:keepNext/>
                    <w:keepLines/>
                  </w:pPr>
                </w:p>
              </w:tc>
              <w:tc>
                <w:tcPr>
                  <w:tcW w:w="4000" w:type="pct"/>
                  <w:vAlign w:val="top"/>
                </w:tcPr>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Industry value added (IVA), which measures an industry's contribution to the overall economy, for the Men's Clothing Stores industry, is expected to decline at an annualized rate of 2.0% over the 10 years to 2025. Meanwhile, US GDP is anticipated to increase an annualized 1.9% during the same period. Although IVA is declining, the industry is considered mature because it has wholehearted market acceptance and is a staple in the retail sector. Furthermore, much of the IVA decline is the result of merger and acquisition (M&amp;A) activity within the industry. For example, Tailored Brands Inc. (Tailored Brands), the industry's largest player, acquired Jos. A. Bank. in 2014. Additionally, over the five years to 2020, Tailored Brands sold its corporate apparel operations and its subsidiary, Joseph Abboud, to WHP Global in early 2020. M&amp;A activity is highly indicative of a mature industry and further reflects the industry's life cycle stage.</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The industry's product mix is also well-defined, with formal wear, casual wear, coats and sporting apparel holding steady ground. While office attire has declined as a share of total revenue, it still represents a notable share of the market, indicating that demand for more formal attire has not declined drastically. Even with changing preferences and dress codes, the types of products offered in this industry are unlikely to change. Product innovation in men's clothing is very slow; fashion trends do not affect the male population as much as they do the female population, making men's apparel more static. Demographics are expected to shift slightly as generations age and enter the workforce at faster rates, but dramatic shifts in purchasing power are not likely to occur over the five years to 2025.</w:t>
                  </w:r>
                </w:p>
                <w:p>
                  <w:pPr>
                    <w:keepNext/>
                    <w:keepLines/>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Technology within the industry is slow to change. Most automation has already taken place, with the majority of locations using electronic cash registers, scanners and inventory tracking. IBISWorld expects only slight cosmetic upgrades to take place over the next five years. Low technological change further establishes the Men's Clothing Stores industry in its mature life cycle stage.</w:t>
                  </w:r>
                </w:p>
              </w:tc>
            </w:tr>
          </w:tbl>
          <w:p>
            <w:pPr/>
          </w:p>
        </w:tc>
      </w:tr>
    </w:tbl>
    <w:p>
      <w:pPr>
        <w:sectPr>
          <w:headerReference w:type="default" r:id="gemHfRid48"/>
          <w:footerReference w:type="default" r:id="gemHfRid49"/>
          <w:pgSz w:w="11907" w:h="16839" w:code="9"/>
          <w:pgMar w:top="640" w:right="640" w:bottom="640" w:left="640" w:header="0" w:footer="0" w:gutter="0"/>
          <w:cols w:space="708"/>
          <w:docGrid w:linePitch="360"/>
        </w:sectPr>
      </w:pPr>
    </w:p>
    <w:p>
      <w:pPr>
        <w:pStyle w:val="heading 1"/>
        <w:spacing w:before="0" w:after="240" w:lineRule="atLeast" w:line="420"/>
        <w:ind w:left="0" w:right="0" w:hanging="0"/>
        <w:jc w:val="left"/>
        <w:rPr>
          <w:rFonts w:ascii="arial" w:eastAsia="arial" w:hAnsi="arial" w:cs="arial"/>
          <w:b w:val="false"/>
          <w:bCs w:val="false"/>
          <w:i w:val="false"/>
          <w:color w:val="333333"/>
          <w:sz w:val="36"/>
          <w:szCs w:val="36"/>
        </w:rPr>
      </w:pPr>
      <w:bookmarkStart w:id="14" w:name="_Toc15"/>
      <w:r>
        <w:rPr>
          <w:rFonts w:ascii="arial" w:eastAsia="arial" w:hAnsi="arial" w:cs="arial"/>
          <w:b w:val="false"/>
          <w:bCs w:val="false"/>
          <w:i w:val="false"/>
          <w:color w:val="333333"/>
          <w:sz w:val="36"/>
          <w:szCs w:val="36"/>
        </w:rPr>
        <w:t>Products &amp; Markets</w:t>
      </w:r>
      <w:bookmarkEnd w:id="14"/>
    </w:p>
    <w:tbl>
      <w:tblPr>
        <w:tblW w:w="5000" w:type="pct"/>
        <w:jc w:val="left"/>
        <w:tblBorders>
          <w:top w:val="nil"/>
          <w:left w:val="nil"/>
          <w:bottom w:val="nil"/>
          <w:right w:val="nil"/>
          <w:insideH w:val="nil"/>
          <w:insideV w:val="nil"/>
        </w:tblBorders>
      </w:tblPr>
      <w:tr>
        <w:tc>
          <w:tcPr>
            <w:tcW w:w="4000" w:type="pct"/>
            <w:gridSpan w:val="2"/>
            <w:vAlign w:val="top"/>
          </w:tcPr>
          <w:tbl>
            <w:tblPr>
              <w:tblW w:w="5000" w:type="pct"/>
              <w:jc w:val="left"/>
              <w:tblBorders>
                <w:top w:val="nil"/>
                <w:left w:val="nil"/>
                <w:bottom w:val="nil"/>
                <w:right w:val="nil"/>
                <w:insideH w:val="nil"/>
                <w:insideV w:val="nil"/>
              </w:tblBorders>
            </w:tblP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15" w:name="_Toc16"/>
                  <w:r>
                    <w:rPr>
                      <w:rFonts w:ascii="arial" w:eastAsia="arial" w:hAnsi="arial" w:cs="arial"/>
                      <w:b/>
                      <w:bCs/>
                      <w:i w:val="false"/>
                      <w:color w:val="333333"/>
                      <w:spacing w:val="4"/>
                      <w:sz w:val="21"/>
                      <w:szCs w:val="21"/>
                    </w:rPr>
                    <w:t>Supply Chain</w:t>
                  </w:r>
                  <w:bookmarkEnd w:id="15"/>
                </w:p>
              </w:tc>
              <w:tc>
                <w:tcPr>
                  <w:tcW w:w="2000" w:type="pct"/>
                  <w:vAlign w:val="top"/>
                </w:tcPr>
                <w:tbl>
                  <w:tblPr>
                    <w:tblW w:w="4500" w:type="pct"/>
                    <w:jc w:val="left"/>
                    <w:tblCellSpacing w:w="0" w:type="dxa"/>
                    <w:tblBorders>
                      <w:top w:val="nil"/>
                      <w:left w:val="nil"/>
                      <w:bottom w:val="nil"/>
                      <w:right w:val="nil"/>
                      <w:insideH w:val="nil"/>
                      <w:insideV w:val="nil"/>
                    </w:tblBorders>
                  </w:tblPr>
                  <w:tr>
                    <w:trPr>
                      <w:tblHeader/>
                    </w:trPr>
                    <w:tc>
                      <w:tcPr>
                        <w:tcMar>
                          <w:top w:w="0" w:type="dxa"/>
                          <w:left w:w="60" w:type="dxa"/>
                          <w:bottom w:w="0" w:type="dxa"/>
                          <w:right w:w="0" w:type="dxa"/>
                        </w:tcMar>
                        <w:vAlign w:val="center"/>
                      </w:tcPr>
                      <w:p>
                        <w:pPr>
                          <w:keepNext/>
                          <w:keepLines/>
                          <w:spacing w:before="0" w:after="0" w:lineRule="atLeast" w:line="270"/>
                          <w:ind w:left="-60" w:hanging="0"/>
                          <w:jc w:val="left"/>
                          <w:rPr>
                            <w:rFonts w:ascii="arial" w:eastAsia="arial" w:hAnsi="arial" w:cs="arial"/>
                            <w:b/>
                            <w:bCs/>
                            <w:i w:val="false"/>
                            <w:color w:val="333333"/>
                            <w:sz w:val="18"/>
                            <w:szCs w:val="18"/>
                          </w:rPr>
                        </w:pPr>
                        <w:r>
                          <w:rPr>
                            <w:rFonts w:ascii="arial" w:eastAsia="arial" w:hAnsi="arial" w:cs="arial"/>
                            <w:b/>
                            <w:bCs/>
                            <w:i w:val="false"/>
                            <w:color w:val="333333"/>
                            <w:sz w:val="18"/>
                            <w:szCs w:val="18"/>
                          </w:rPr>
                          <w:t>Key Buying Industries</w:t>
                        </w:r>
                      </w:p>
                    </w:tc>
                  </w:tr>
                  <w:tr>
                    <w:tc>
                      <w:tcPr>
                        <w:tcW w:w="800" w:type="pct"/>
                        <w:tcMar>
                          <w:top w:w="60" w:type="dxa"/>
                          <w:left w:w="0" w:type="dxa"/>
                          <w:bottom w:w="60" w:type="dxa"/>
                          <w:right w:w="0" w:type="dxa"/>
                        </w:tcMar>
                        <w:vAlign w:val="center"/>
                      </w:tcPr>
                      <w:p>
                        <w:pPr>
                          <w:keepNext/>
                          <w:keepLines/>
                          <w:spacing w:before="0" w:after="0" w:lineRule="atLeast" w:line="225"/>
                          <w:ind w:right="0" w:hanging="0"/>
                          <w:jc w:val="left"/>
                          <w:rPr>
                            <w:rFonts w:ascii="arial" w:eastAsia="arial" w:hAnsi="arial" w:cs="arial"/>
                            <w:b w:val="false"/>
                            <w:bCs w:val="false"/>
                            <w:i w:val="false"/>
                            <w:sz w:val="16"/>
                            <w:szCs w:val="16"/>
                          </w:rPr>
                        </w:pPr>
                        <w:r>
                          <w:rPr>
                            <w:rFonts w:ascii="arial" w:eastAsia="arial" w:hAnsi="arial" w:cs="arial"/>
                            <w:b/>
                            <w:bCs/>
                            <w:i w:val="false"/>
                            <w:sz w:val="15"/>
                            <w:szCs w:val="15"/>
                          </w:rPr>
                          <w:t>1st Tier</w:t>
                        </w:r>
                      </w:p>
                    </w:tc>
                  </w:tr>
                  <w:tr>
                    <w:tc>
                      <w:tcPr>
                        <w:tcW w:w="800" w:type="pct"/>
                        <w:tcBorders>
                          <w:bottom w:val="single" w:sz="6" w:color="CCCCCC"/>
                        </w:tcBorders>
                        <w:tcMar>
                          <w:top w:w="60" w:type="dxa"/>
                          <w:left w:w="0" w:type="dxa"/>
                          <w:bottom w:w="60" w:type="dxa"/>
                          <w:right w:w="0" w:type="dxa"/>
                        </w:tcMar>
                        <w:vAlign w:val="center"/>
                      </w:tcPr>
                      <w:p>
                        <w:pPr>
                          <w:keepNext/>
                          <w:keepLines/>
                          <w:spacing w:before="0" w:after="0" w:lineRule="atLeast" w:line="225"/>
                          <w:ind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5"/>
                            <w:szCs w:val="15"/>
                          </w:rPr>
                          <w:t>Consumers in the US</w:t>
                        </w:r>
                      </w:p>
                    </w:tc>
                  </w:tr>
                </w:tbl>
                <w:p>
                  <w:pPr/>
                </w:p>
              </w:tc>
              <w:tc>
                <w:tcPr>
                  <w:tcW w:w="2000" w:type="pct"/>
                  <w:vAlign w:val="top"/>
                </w:tcPr>
                <w:tbl>
                  <w:tblPr>
                    <w:tblW w:w="4500" w:type="pct"/>
                    <w:jc w:val="left"/>
                    <w:tblCellSpacing w:w="0" w:type="dxa"/>
                    <w:tblBorders>
                      <w:top w:val="nil"/>
                      <w:left w:val="nil"/>
                      <w:bottom w:val="nil"/>
                      <w:right w:val="nil"/>
                      <w:insideH w:val="nil"/>
                      <w:insideV w:val="nil"/>
                    </w:tblBorders>
                  </w:tblPr>
                  <w:tr>
                    <w:trPr>
                      <w:tblHeader/>
                    </w:trPr>
                    <w:tc>
                      <w:tcPr>
                        <w:tcMar>
                          <w:top w:w="0" w:type="dxa"/>
                          <w:left w:w="60" w:type="dxa"/>
                          <w:bottom w:w="0" w:type="dxa"/>
                          <w:right w:w="0" w:type="dxa"/>
                        </w:tcMar>
                        <w:vAlign w:val="center"/>
                      </w:tcPr>
                      <w:p>
                        <w:pPr>
                          <w:keepNext/>
                          <w:keepLines/>
                          <w:spacing w:before="0" w:after="0" w:lineRule="atLeast" w:line="270"/>
                          <w:ind w:left="-60" w:hanging="0"/>
                          <w:jc w:val="left"/>
                          <w:rPr>
                            <w:rFonts w:ascii="arial" w:eastAsia="arial" w:hAnsi="arial" w:cs="arial"/>
                            <w:b/>
                            <w:bCs/>
                            <w:i w:val="false"/>
                            <w:color w:val="333333"/>
                            <w:sz w:val="18"/>
                            <w:szCs w:val="18"/>
                          </w:rPr>
                        </w:pPr>
                        <w:r>
                          <w:rPr>
                            <w:rFonts w:ascii="arial" w:eastAsia="arial" w:hAnsi="arial" w:cs="arial"/>
                            <w:b/>
                            <w:bCs/>
                            <w:i w:val="false"/>
                            <w:color w:val="333333"/>
                            <w:sz w:val="18"/>
                            <w:szCs w:val="18"/>
                          </w:rPr>
                          <w:t>Key Selling Industries</w:t>
                        </w:r>
                      </w:p>
                    </w:tc>
                  </w:tr>
                  <w:tr>
                    <w:tc>
                      <w:tcPr>
                        <w:tcW w:w="800" w:type="pct"/>
                        <w:tcMar>
                          <w:top w:w="60" w:type="dxa"/>
                          <w:left w:w="0" w:type="dxa"/>
                          <w:bottom w:w="60" w:type="dxa"/>
                          <w:right w:w="0" w:type="dxa"/>
                        </w:tcMar>
                        <w:vAlign w:val="center"/>
                      </w:tcPr>
                      <w:p>
                        <w:pPr>
                          <w:keepNext/>
                          <w:keepLines/>
                          <w:spacing w:before="0" w:after="0" w:lineRule="atLeast" w:line="225"/>
                          <w:ind w:right="0" w:hanging="0"/>
                          <w:jc w:val="left"/>
                          <w:rPr>
                            <w:rFonts w:ascii="arial" w:eastAsia="arial" w:hAnsi="arial" w:cs="arial"/>
                            <w:b w:val="false"/>
                            <w:bCs w:val="false"/>
                            <w:i w:val="false"/>
                            <w:sz w:val="16"/>
                            <w:szCs w:val="16"/>
                          </w:rPr>
                        </w:pPr>
                        <w:r>
                          <w:rPr>
                            <w:rFonts w:ascii="arial" w:eastAsia="arial" w:hAnsi="arial" w:cs="arial"/>
                            <w:b/>
                            <w:bCs/>
                            <w:i w:val="false"/>
                            <w:sz w:val="15"/>
                            <w:szCs w:val="15"/>
                          </w:rPr>
                          <w:t>1st Tier</w:t>
                        </w:r>
                      </w:p>
                    </w:tc>
                  </w:tr>
                  <w:tr>
                    <w:tc>
                      <w:tcPr>
                        <w:tcW w:w="800" w:type="pct"/>
                        <w:tcBorders>
                          <w:bottom w:val="single" w:sz="6" w:color="CCCCCC"/>
                        </w:tcBorders>
                        <w:tcMar>
                          <w:top w:w="60" w:type="dxa"/>
                          <w:left w:w="0" w:type="dxa"/>
                          <w:bottom w:w="60" w:type="dxa"/>
                          <w:right w:w="0" w:type="dxa"/>
                        </w:tcMar>
                        <w:vAlign w:val="center"/>
                      </w:tcPr>
                      <w:p>
                        <w:pPr>
                          <w:keepNext/>
                          <w:keepLines/>
                          <w:spacing w:before="0" w:after="0" w:lineRule="atLeast" w:line="225"/>
                          <w:ind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5"/>
                            <w:szCs w:val="15"/>
                          </w:rPr>
                          <w:t>Men's &amp; Boys' Apparel Wholesaling in the US</w:t>
                        </w:r>
                      </w:p>
                    </w:tc>
                  </w:tr>
                  <w:tr>
                    <w:tc>
                      <w:tcPr>
                        <w:tcW w:w="800" w:type="pct"/>
                        <w:tcBorders>
                          <w:bottom w:val="single" w:sz="6" w:color="CCCCCC"/>
                        </w:tcBorders>
                        <w:tcMar>
                          <w:top w:w="60" w:type="dxa"/>
                          <w:left w:w="0" w:type="dxa"/>
                          <w:bottom w:w="60" w:type="dxa"/>
                          <w:right w:w="0" w:type="dxa"/>
                        </w:tcMar>
                        <w:vAlign w:val="center"/>
                      </w:tcPr>
                      <w:p>
                        <w:pPr>
                          <w:keepNext/>
                          <w:keepLines/>
                          <w:spacing w:before="0" w:after="0" w:lineRule="atLeast" w:line="225"/>
                          <w:ind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5"/>
                            <w:szCs w:val="15"/>
                          </w:rPr>
                          <w:t>Men's &amp; Boys' Apparel Manufacturing in the US</w:t>
                        </w:r>
                      </w:p>
                    </w:tc>
                  </w:tr>
                  <w:tr>
                    <w:tc>
                      <w:tcPr>
                        <w:tcW w:w="800" w:type="pct"/>
                        <w:tcBorders>
                          <w:bottom w:val="single" w:sz="6" w:color="CCCCCC"/>
                        </w:tcBorders>
                        <w:tcMar>
                          <w:top w:w="60" w:type="dxa"/>
                          <w:left w:w="0" w:type="dxa"/>
                          <w:bottom w:w="60" w:type="dxa"/>
                          <w:right w:w="0" w:type="dxa"/>
                        </w:tcMar>
                        <w:vAlign w:val="center"/>
                      </w:tcPr>
                      <w:p>
                        <w:pPr>
                          <w:keepNext/>
                          <w:keepLines/>
                          <w:spacing w:before="0" w:after="0" w:lineRule="atLeast" w:line="225"/>
                          <w:ind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5"/>
                            <w:szCs w:val="15"/>
                          </w:rPr>
                          <w:t>Computer &amp; Packaged Software Wholesaling in the US</w:t>
                        </w:r>
                      </w:p>
                    </w:tc>
                  </w:tr>
                  <w:tr>
                    <w:tc>
                      <w:tcPr>
                        <w:tcW w:w="800" w:type="pct"/>
                        <w:tcMar>
                          <w:top w:w="60" w:type="dxa"/>
                          <w:left w:w="0" w:type="dxa"/>
                          <w:bottom w:w="60" w:type="dxa"/>
                          <w:right w:w="0" w:type="dxa"/>
                        </w:tcMar>
                        <w:vAlign w:val="center"/>
                      </w:tcPr>
                      <w:p>
                        <w:pPr>
                          <w:keepNext/>
                          <w:keepLines/>
                          <w:spacing w:before="0" w:after="0" w:lineRule="atLeast" w:line="225"/>
                          <w:ind w:right="0" w:hanging="0"/>
                          <w:jc w:val="left"/>
                          <w:rPr>
                            <w:rFonts w:ascii="arial" w:eastAsia="arial" w:hAnsi="arial" w:cs="arial"/>
                            <w:b w:val="false"/>
                            <w:bCs w:val="false"/>
                            <w:i w:val="false"/>
                            <w:sz w:val="16"/>
                            <w:szCs w:val="16"/>
                          </w:rPr>
                        </w:pPr>
                        <w:r>
                          <w:rPr>
                            <w:rFonts w:ascii="arial" w:eastAsia="arial" w:hAnsi="arial" w:cs="arial"/>
                            <w:b/>
                            <w:bCs/>
                            <w:i w:val="false"/>
                            <w:sz w:val="15"/>
                            <w:szCs w:val="15"/>
                          </w:rPr>
                          <w:t>2nd Tier</w:t>
                        </w:r>
                      </w:p>
                    </w:tc>
                  </w:tr>
                  <w:tr>
                    <w:tc>
                      <w:tcPr>
                        <w:tcW w:w="800" w:type="pct"/>
                        <w:tcBorders>
                          <w:bottom w:val="single" w:sz="6" w:color="CCCCCC"/>
                        </w:tcBorders>
                        <w:tcMar>
                          <w:top w:w="60" w:type="dxa"/>
                          <w:left w:w="0" w:type="dxa"/>
                          <w:bottom w:w="60" w:type="dxa"/>
                          <w:right w:w="0" w:type="dxa"/>
                        </w:tcMar>
                        <w:vAlign w:val="center"/>
                      </w:tcPr>
                      <w:p>
                        <w:pPr>
                          <w:keepNext/>
                          <w:keepLines/>
                          <w:spacing w:before="0" w:after="0" w:lineRule="atLeast" w:line="225"/>
                          <w:ind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5"/>
                            <w:szCs w:val="15"/>
                          </w:rPr>
                          <w:t>Cut and Sew Manufacturers in the US</w:t>
                        </w:r>
                      </w:p>
                    </w:tc>
                  </w:tr>
                  <w:tr>
                    <w:tc>
                      <w:tcPr>
                        <w:tcW w:w="800" w:type="pct"/>
                        <w:tcBorders>
                          <w:bottom w:val="single" w:sz="6" w:color="CCCCCC"/>
                        </w:tcBorders>
                        <w:tcMar>
                          <w:top w:w="60" w:type="dxa"/>
                          <w:left w:w="0" w:type="dxa"/>
                          <w:bottom w:w="60" w:type="dxa"/>
                          <w:right w:w="0" w:type="dxa"/>
                        </w:tcMar>
                        <w:vAlign w:val="center"/>
                      </w:tcPr>
                      <w:p>
                        <w:pPr>
                          <w:keepNext/>
                          <w:keepLines/>
                          <w:spacing w:before="0" w:after="0" w:lineRule="atLeast" w:line="225"/>
                          <w:ind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5"/>
                            <w:szCs w:val="15"/>
                          </w:rPr>
                          <w:t>Textile Mills in the US</w:t>
                        </w:r>
                      </w:p>
                    </w:tc>
                  </w:tr>
                </w:tbl>
                <w:p>
                  <w:pPr/>
                </w:p>
              </w:tc>
            </w:tr>
          </w:tbl>
          <w:p>
            <w:pP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16" w:name="_Toc17"/>
            <w:r>
              <w:rPr>
                <w:rFonts w:ascii="arial" w:eastAsia="arial" w:hAnsi="arial" w:cs="arial"/>
                <w:b/>
                <w:bCs/>
                <w:i w:val="false"/>
                <w:color w:val="333333"/>
                <w:spacing w:val="4"/>
                <w:sz w:val="21"/>
                <w:szCs w:val="21"/>
              </w:rPr>
              <w:t>Products &amp; Services</w:t>
            </w:r>
            <w:bookmarkEnd w:id="16"/>
          </w:p>
        </w:tc>
        <w:tc>
          <w:tcPr>
            <w:tcW w:w="4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drawing>
                <wp:inline>
                  <wp:extent cx="5238750" cy="2571750"/>
                  <wp:docPr id="71" name="Picture 71"/>
                  <a:graphic xmlns:a="http://schemas.openxmlformats.org/drawingml/2006/main">
                    <a:graphicData uri="http://schemas.openxmlformats.org/drawingml/2006/picture">
                      <pic:pic xmlns:pic="http://schemas.openxmlformats.org/drawingml/2006/picture">
                        <pic:nvPicPr>
                          <pic:cNvPr id="72" name="Picture 72"/>
                          <pic:cNvPicPr/>
                        </pic:nvPicPr>
                        <pic:blipFill>
                          <a:blip r:embed="PictureId34" cstate="print"/>
                          <a:stretch>
                            <a:fillRect/>
                          </a:stretch>
                        </pic:blipFill>
                        <pic:spPr>
                          <a:xfrm>
                            <a:off x="0" y="0"/>
                            <a:ext cx="5238750" cy="2571750"/>
                          </a:xfrm>
                          <a:prstGeom prst="rect">
                            <a:avLst/>
                          </a:prstGeom>
                        </pic:spPr>
                      </pic:pic>
                    </a:graphicData>
                  </a:graphic>
                </wp:inline>
              </w:drawing>
            </w: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keepNext/>
              <w:keepLines/>
              <w:spacing w:before="0" w:after="180" w:lineRule="atLeast" w:line="240"/>
              <w:ind w:left="0" w:right="0" w:hanging="0"/>
              <w:jc w:val="left"/>
              <w:rPr>
                <w:rFonts w:ascii="arial" w:eastAsia="arial" w:hAnsi="arial" w:cs="arial"/>
                <w:b w:val="false"/>
                <w:bCs w:val="false"/>
                <w:i w:val="false"/>
                <w:caps/>
                <w:sz w:val="16"/>
                <w:szCs w:val="16"/>
              </w:rPr>
            </w:pPr>
            <w:r>
              <w:rPr>
                <w:rFonts w:ascii="arial" w:eastAsia="arial" w:hAnsi="arial" w:cs="arial"/>
                <w:b/>
                <w:bCs/>
                <w:i w:val="false"/>
                <w:caps/>
                <w:sz w:val="18"/>
                <w:szCs w:val="18"/>
              </w:rPr>
              <w:t>Casual wear</w:t>
            </w:r>
          </w:p>
          <w:p>
            <w:pPr>
              <w:keepNext/>
              <w:keepLines/>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Casual wear is the largest product segment in the Men's Clothing Stores industry, representing 31.2% of total revenue in 2020.</w:t>
            </w:r>
          </w:p>
          <w:p>
            <w:pPr>
              <w:keepNext/>
              <w:keepLines/>
              <w:spacing w:before="0" w:after="0" w:lineRule="atLeast" w:line="225"/>
              <w:ind w:left="0" w:right="0" w:hanging="0"/>
              <w:jc w:val="left"/>
              <w:rPr>
                <w:rFonts w:ascii="arial" w:eastAsia="arial" w:hAnsi="arial" w:cs="arial"/>
                <w:b w:val="false"/>
                <w:bCs w:val="false"/>
                <w:i w:val="false"/>
                <w:sz w:val="16"/>
                <w:szCs w:val="16"/>
              </w:rPr>
            </w:pPr>
          </w:p>
          <w:p>
            <w:pPr>
              <w:keepNext/>
              <w:keepLines/>
              <w:spacing w:before="0" w:after="30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Casual wear has increased as a share of total demand over the five years to 2020 due to a shift in work place dress codes; while office attire was previously formal and generally required a suit, some employers have relaxed the formal dress code during work hours. This has facilitated a shift in the product mix for men's clothing stores, moving away from conservative and toward casual wear. Moreover, the emergence of premium denim (i.e. branded denim that carries a promise of high quality and aesthetics) has helped this segment gain popularity, especially among Generation Y consumers that value high-end casual wear. T-shirts are extremely competitive in style, fit and brand. Generation X and Generation Y consumers will often spend more on a particular brand, while baby boomers will demand a wide variety of shirts for casual and work purposes, focusing on fit and comfort. Due to the outbreak of COVID-19, the majority of corporate America transitioned to working from home, contributing to a further increase in demand for casual wear compared to office and formal wear.</w:t>
            </w:r>
          </w:p>
          <w:p>
            <w:pPr>
              <w:keepNext/>
              <w:keepLines/>
              <w:spacing w:before="0" w:after="180" w:lineRule="atLeast" w:line="240"/>
              <w:ind w:left="0" w:right="0" w:hanging="0"/>
              <w:jc w:val="left"/>
              <w:rPr>
                <w:rFonts w:ascii="arial" w:eastAsia="arial" w:hAnsi="arial" w:cs="arial"/>
                <w:b w:val="false"/>
                <w:bCs w:val="false"/>
                <w:i w:val="false"/>
                <w:caps/>
                <w:sz w:val="16"/>
                <w:szCs w:val="16"/>
              </w:rPr>
            </w:pPr>
            <w:r>
              <w:rPr>
                <w:rFonts w:ascii="arial" w:eastAsia="arial" w:hAnsi="arial" w:cs="arial"/>
                <w:b/>
                <w:bCs/>
                <w:i w:val="false"/>
                <w:caps/>
                <w:sz w:val="18"/>
                <w:szCs w:val="18"/>
              </w:rPr>
              <w:t>Office and formal wear</w:t>
            </w:r>
          </w:p>
          <w:p>
            <w:pPr>
              <w:keepNext/>
              <w:keepLines/>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The office and formal wear segment primarily includes suits, tailored pants and dress slacks.</w:t>
            </w:r>
          </w:p>
          <w:p>
            <w:pPr>
              <w:keepNext/>
              <w:keepLines/>
              <w:spacing w:before="0" w:after="0" w:lineRule="atLeast" w:line="225"/>
              <w:ind w:left="0" w:right="0" w:hanging="0"/>
              <w:jc w:val="left"/>
              <w:rPr>
                <w:rFonts w:ascii="arial" w:eastAsia="arial" w:hAnsi="arial" w:cs="arial"/>
                <w:b w:val="false"/>
                <w:bCs w:val="false"/>
                <w:i w:val="false"/>
                <w:sz w:val="16"/>
                <w:szCs w:val="16"/>
              </w:rPr>
            </w:pPr>
          </w:p>
          <w:p>
            <w:pPr>
              <w:keepNext/>
              <w:keepLines/>
              <w:spacing w:before="0" w:after="30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White-collar employment rates and business sentiment provide demand patterns for office suits. For example, poor business sentiment has a negative effect on demand for new office attire; conversely, positive macroeconomic factors typically boost demand for office attire. Consumers are likely to postpone new suit purchases as unemployment rises and disposable income contracts. While casual wear has continued to outpace other industry product segments, strong employment levels and economic conditions have expanded demand for office and formal wear. In 2020, IBISWorld estimates that suits and formal wear represent 18.7% of total demand, sport coats and blazers represent 5.6% of demand and office wear represents 14.8% of total industry demand. Demand for office and formal wear is anticipated to decrease in 2020 as a result of high unemployment due to the implications of COVID-19 (coronavirus).</w:t>
            </w:r>
          </w:p>
          <w:p>
            <w:pPr>
              <w:keepNext/>
              <w:keepLines/>
              <w:spacing w:before="0" w:after="180" w:lineRule="atLeast" w:line="240"/>
              <w:ind w:left="0" w:right="0" w:hanging="0"/>
              <w:jc w:val="left"/>
              <w:rPr>
                <w:rFonts w:ascii="arial" w:eastAsia="arial" w:hAnsi="arial" w:cs="arial"/>
                <w:b w:val="false"/>
                <w:bCs w:val="false"/>
                <w:i w:val="false"/>
                <w:caps/>
                <w:sz w:val="16"/>
                <w:szCs w:val="16"/>
              </w:rPr>
            </w:pPr>
            <w:r>
              <w:rPr>
                <w:rFonts w:ascii="arial" w:eastAsia="arial" w:hAnsi="arial" w:cs="arial"/>
                <w:b/>
                <w:bCs/>
                <w:i w:val="false"/>
                <w:caps/>
                <w:sz w:val="18"/>
                <w:szCs w:val="18"/>
              </w:rPr>
              <w:t>Overcoats and raincoats</w:t>
            </w:r>
          </w:p>
          <w:p>
            <w:pPr>
              <w:keepNext/>
              <w:keepLines/>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Overcoats and raincoats are estimated to account for 8.4% of industry revenue in 2020 and have remained relatively static over the past five years.</w:t>
            </w:r>
          </w:p>
          <w:p>
            <w:pPr>
              <w:keepNext/>
              <w:keepLines/>
              <w:spacing w:before="0" w:after="0" w:lineRule="atLeast" w:line="225"/>
              <w:ind w:left="0" w:right="0" w:hanging="0"/>
              <w:jc w:val="left"/>
              <w:rPr>
                <w:rFonts w:ascii="arial" w:eastAsia="arial" w:hAnsi="arial" w:cs="arial"/>
                <w:b w:val="false"/>
                <w:bCs w:val="false"/>
                <w:i w:val="false"/>
                <w:sz w:val="16"/>
                <w:szCs w:val="16"/>
              </w:rPr>
            </w:pPr>
          </w:p>
          <w:p>
            <w:pPr>
              <w:keepNext/>
              <w:keepLines/>
              <w:spacing w:before="0" w:after="24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Accessories, which include belts, socks and underwear, are expected to represent 8.0% of industry revenue. Other items are anticipated to account for the remaining 13.3% of industry revenue. This segment includes pajamas, robes, underwear, sports and exercise apparel, luggage and children's apparel.</w:t>
            </w: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rPr>
          <w:cantSplit/>
        </w:trP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17" w:name="_Toc18"/>
            <w:r>
              <w:rPr>
                <w:rFonts w:ascii="arial" w:eastAsia="arial" w:hAnsi="arial" w:cs="arial"/>
                <w:b/>
                <w:bCs/>
                <w:i w:val="false"/>
                <w:color w:val="333333"/>
                <w:spacing w:val="4"/>
                <w:sz w:val="21"/>
                <w:szCs w:val="21"/>
              </w:rPr>
              <w:t>Major Markets</w:t>
            </w:r>
            <w:bookmarkEnd w:id="17"/>
          </w:p>
        </w:tc>
        <w:tc>
          <w:tcPr>
            <w:tcW w:w="4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drawing>
                <wp:inline>
                  <wp:extent cx="5238750" cy="2571750"/>
                  <wp:docPr id="73" name="Picture 73"/>
                  <a:graphic xmlns:a="http://schemas.openxmlformats.org/drawingml/2006/main">
                    <a:graphicData uri="http://schemas.openxmlformats.org/drawingml/2006/picture">
                      <pic:pic xmlns:pic="http://schemas.openxmlformats.org/drawingml/2006/picture">
                        <pic:nvPicPr>
                          <pic:cNvPr id="74" name="Picture 74"/>
                          <pic:cNvPicPr/>
                        </pic:nvPicPr>
                        <pic:blipFill>
                          <a:blip r:embed="PictureId35" cstate="print"/>
                          <a:stretch>
                            <a:fillRect/>
                          </a:stretch>
                        </pic:blipFill>
                        <pic:spPr>
                          <a:xfrm>
                            <a:off x="0" y="0"/>
                            <a:ext cx="5238750" cy="2571750"/>
                          </a:xfrm>
                          <a:prstGeom prst="rect">
                            <a:avLst/>
                          </a:prstGeom>
                        </pic:spPr>
                      </pic:pic>
                    </a:graphicData>
                  </a:graphic>
                </wp:inline>
              </w:drawing>
            </w: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keepNext/>
              <w:keepLines/>
              <w:spacing w:before="0" w:after="180" w:lineRule="atLeast" w:line="240"/>
              <w:ind w:left="0" w:right="0" w:hanging="0"/>
              <w:jc w:val="left"/>
              <w:rPr>
                <w:rFonts w:ascii="arial" w:eastAsia="arial" w:hAnsi="arial" w:cs="arial"/>
                <w:b w:val="false"/>
                <w:bCs w:val="false"/>
                <w:i w:val="false"/>
                <w:caps/>
                <w:sz w:val="16"/>
                <w:szCs w:val="16"/>
              </w:rPr>
            </w:pPr>
            <w:r>
              <w:rPr>
                <w:rFonts w:ascii="arial" w:eastAsia="arial" w:hAnsi="arial" w:cs="arial"/>
                <w:b/>
                <w:bCs/>
                <w:i w:val="false"/>
                <w:caps/>
                <w:sz w:val="18"/>
                <w:szCs w:val="18"/>
              </w:rPr>
              <w:t>Lowest and second income quintile</w:t>
            </w:r>
          </w:p>
          <w:p>
            <w:pPr>
              <w:keepNext/>
              <w:keepLines/>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The lowest and second-lowest income quintiles are expected to account for a respective 8.0% and 13.8% of revenue for the Men's Clothing Stores industry.</w:t>
            </w:r>
          </w:p>
          <w:p>
            <w:pPr>
              <w:keepNext/>
              <w:keepLines/>
              <w:spacing w:before="0" w:after="0" w:lineRule="atLeast" w:line="225"/>
              <w:ind w:left="0" w:right="0" w:hanging="0"/>
              <w:jc w:val="left"/>
              <w:rPr>
                <w:rFonts w:ascii="arial" w:eastAsia="arial" w:hAnsi="arial" w:cs="arial"/>
                <w:b w:val="false"/>
                <w:bCs w:val="false"/>
                <w:i w:val="false"/>
                <w:sz w:val="16"/>
                <w:szCs w:val="16"/>
              </w:rPr>
            </w:pPr>
          </w:p>
          <w:p>
            <w:pPr>
              <w:keepNext/>
              <w:keepLines/>
              <w:spacing w:before="0" w:after="30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Consumers in low income quintiles have limited disposable incomes and are more likely to buy their clothing at discount stores and other retail outlets that competitively price their products. Moreover, men's clothing stores typically specialize in fine suits, and consumers with low-paying jobs usually wear uniforms or casual wear to work.</w:t>
            </w:r>
          </w:p>
          <w:p>
            <w:pPr>
              <w:keepNext/>
              <w:keepLines/>
              <w:spacing w:before="0" w:after="180" w:lineRule="atLeast" w:line="240"/>
              <w:ind w:left="0" w:right="0" w:hanging="0"/>
              <w:jc w:val="left"/>
              <w:rPr>
                <w:rFonts w:ascii="arial" w:eastAsia="arial" w:hAnsi="arial" w:cs="arial"/>
                <w:b w:val="false"/>
                <w:bCs w:val="false"/>
                <w:i w:val="false"/>
                <w:caps/>
                <w:sz w:val="16"/>
                <w:szCs w:val="16"/>
              </w:rPr>
            </w:pPr>
            <w:r>
              <w:rPr>
                <w:rFonts w:ascii="arial" w:eastAsia="arial" w:hAnsi="arial" w:cs="arial"/>
                <w:b/>
                <w:bCs/>
                <w:i w:val="false"/>
                <w:caps/>
                <w:sz w:val="18"/>
                <w:szCs w:val="18"/>
              </w:rPr>
              <w:t>Third and fourth income quintile</w:t>
            </w:r>
          </w:p>
          <w:p>
            <w:pPr>
              <w:keepNext/>
              <w:keepLines/>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The third- and fourth-lowest income quintiles are anticipated to comprise a respective 16.4% and 21.5% of industry revenue, respectively.</w:t>
            </w:r>
          </w:p>
          <w:p>
            <w:pPr>
              <w:keepNext/>
              <w:keepLines/>
              <w:spacing w:before="0" w:after="0" w:lineRule="atLeast" w:line="225"/>
              <w:ind w:left="0" w:right="0" w:hanging="0"/>
              <w:jc w:val="left"/>
              <w:rPr>
                <w:rFonts w:ascii="arial" w:eastAsia="arial" w:hAnsi="arial" w:cs="arial"/>
                <w:b w:val="false"/>
                <w:bCs w:val="false"/>
                <w:i w:val="false"/>
                <w:sz w:val="16"/>
                <w:szCs w:val="16"/>
              </w:rPr>
            </w:pPr>
          </w:p>
          <w:p>
            <w:pPr>
              <w:keepNext/>
              <w:keepLines/>
              <w:spacing w:before="0" w:after="30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Such consumers benefit from higher disposable income, leading to stronger demand. Revenue from these segments has slightly decreased over the five years to 2020, as the wealthiest and least wealthy income quantiles have increased their shares of revenue.</w:t>
            </w:r>
          </w:p>
          <w:p>
            <w:pPr>
              <w:keepNext/>
              <w:keepLines/>
              <w:spacing w:before="0" w:after="180" w:lineRule="atLeast" w:line="240"/>
              <w:ind w:left="0" w:right="0" w:hanging="0"/>
              <w:jc w:val="left"/>
              <w:rPr>
                <w:rFonts w:ascii="arial" w:eastAsia="arial" w:hAnsi="arial" w:cs="arial"/>
                <w:b w:val="false"/>
                <w:bCs w:val="false"/>
                <w:i w:val="false"/>
                <w:caps/>
                <w:sz w:val="16"/>
                <w:szCs w:val="16"/>
              </w:rPr>
            </w:pPr>
            <w:r>
              <w:rPr>
                <w:rFonts w:ascii="arial" w:eastAsia="arial" w:hAnsi="arial" w:cs="arial"/>
                <w:b/>
                <w:bCs/>
                <w:i w:val="false"/>
                <w:caps/>
                <w:sz w:val="18"/>
                <w:szCs w:val="18"/>
              </w:rPr>
              <w:t>Highest income quintile</w:t>
            </w:r>
          </w:p>
          <w:p>
            <w:pPr>
              <w:keepNext/>
              <w:keepLines/>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Consumers in the highest income quintile are estimated to account for 40.3% of industry revenue.</w:t>
            </w:r>
          </w:p>
          <w:p>
            <w:pPr>
              <w:keepNext/>
              <w:keepLines/>
              <w:spacing w:before="0" w:after="0" w:lineRule="atLeast" w:line="225"/>
              <w:ind w:left="0" w:right="0" w:hanging="0"/>
              <w:jc w:val="left"/>
              <w:rPr>
                <w:rFonts w:ascii="arial" w:eastAsia="arial" w:hAnsi="arial" w:cs="arial"/>
                <w:b w:val="false"/>
                <w:bCs w:val="false"/>
                <w:i w:val="false"/>
                <w:sz w:val="16"/>
                <w:szCs w:val="16"/>
              </w:rPr>
            </w:pPr>
          </w:p>
          <w:p>
            <w:pPr>
              <w:keepNext/>
              <w:keepLines/>
              <w:spacing w:before="0" w:after="24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Consumers in this income quintile benefit from high disposable income levels and are more likely to attend formal events that require suits. Moreover, consumers in this segment are most likely to purchase luxury items, translating to a higher spend per suit. Over the past five years, this consumer segment has increased as a share of total industry revenue as disposable income levels increased from 2015 to 2019.</w:t>
            </w: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rPr>
          <w:cantSplit/>
        </w:trPr>
        <w:tc>
          <w:tcPr>
            <w:tcW w:w="1000" w:type="pct"/>
            <w:vAlign w:val="top"/>
          </w:tcPr>
          <w:p>
            <w:pPr>
              <w:keepNext/>
              <w:keepLines/>
            </w:pPr>
          </w:p>
        </w:tc>
        <w:tc>
          <w:tcPr>
            <w:tcW w:w="4000" w:type="pct"/>
            <w:vAlign w:val="top"/>
          </w:tcPr>
          <w:p>
            <w:pPr>
              <w:keepNext/>
              <w:keepLines/>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 xml:space="preserve">Exports in this industry are </w:t>
            </w:r>
            <w:r>
              <w:rPr>
                <w:rFonts w:ascii="arial" w:eastAsia="arial" w:hAnsi="arial" w:cs="arial"/>
                <w:b w:val="false"/>
                <w:bCs w:val="false"/>
                <w:i w:val="false"/>
                <w:sz w:val="16"/>
                <w:szCs w:val="16"/>
              </w:rPr>
              <w:t xml:space="preserve"> </w:t>
            </w:r>
            <w:r>
              <w:drawing>
                <wp:inline>
                  <wp:extent cx="91440" cy="91440"/>
                  <wp:docPr id="75" name="Picture 75" descr="Good"/>
                  <a:graphic xmlns:a="http://schemas.openxmlformats.org/drawingml/2006/main">
                    <a:graphicData uri="http://schemas.openxmlformats.org/drawingml/2006/picture">
                      <pic:pic xmlns:pic="http://schemas.openxmlformats.org/drawingml/2006/picture">
                        <pic:nvPicPr>
                          <pic:cNvPr id="76" name="Picture 76"/>
                          <pic:cNvPicPr/>
                        </pic:nvPicPr>
                        <pic:blipFill>
                          <a:blip r:embed="PictureId36"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6"/>
                <w:szCs w:val="16"/>
              </w:rPr>
              <w:t xml:space="preserve">  </w:t>
            </w:r>
            <w:r>
              <w:rPr>
                <w:rFonts w:ascii="arial" w:eastAsia="arial" w:hAnsi="arial" w:cs="arial"/>
                <w:b/>
                <w:bCs/>
                <w:i w:val="false"/>
                <w:color w:val="086D06"/>
                <w:sz w:val="18"/>
                <w:szCs w:val="18"/>
              </w:rPr>
              <w:t xml:space="preserve">Low </w:t>
            </w:r>
            <w:r>
              <w:rPr>
                <w:rFonts w:ascii="arial" w:eastAsia="arial" w:hAnsi="arial" w:cs="arial"/>
                <w:b/>
                <w:bCs/>
                <w:i w:val="false"/>
                <w:sz w:val="18"/>
                <w:szCs w:val="18"/>
              </w:rPr>
              <w:t>and Steady</w:t>
            </w:r>
          </w:p>
          <w:p>
            <w:pPr>
              <w:keepNext/>
              <w:keepLines/>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 xml:space="preserve">Imports in this industry are </w:t>
            </w:r>
            <w:r>
              <w:rPr>
                <w:rFonts w:ascii="arial" w:eastAsia="arial" w:hAnsi="arial" w:cs="arial"/>
                <w:b w:val="false"/>
                <w:bCs w:val="false"/>
                <w:i w:val="false"/>
                <w:sz w:val="16"/>
                <w:szCs w:val="16"/>
              </w:rPr>
              <w:t xml:space="preserve"> </w:t>
            </w:r>
            <w:r>
              <w:drawing>
                <wp:inline>
                  <wp:extent cx="91440" cy="91440"/>
                  <wp:docPr id="77" name="Picture 77" descr="Good"/>
                  <a:graphic xmlns:a="http://schemas.openxmlformats.org/drawingml/2006/main">
                    <a:graphicData uri="http://schemas.openxmlformats.org/drawingml/2006/picture">
                      <pic:pic xmlns:pic="http://schemas.openxmlformats.org/drawingml/2006/picture">
                        <pic:nvPicPr>
                          <pic:cNvPr id="78" name="Picture 78"/>
                          <pic:cNvPicPr/>
                        </pic:nvPicPr>
                        <pic:blipFill>
                          <a:blip r:embed="PictureId36"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6"/>
                <w:szCs w:val="16"/>
              </w:rPr>
              <w:t xml:space="preserve">  </w:t>
            </w:r>
            <w:r>
              <w:rPr>
                <w:rFonts w:ascii="arial" w:eastAsia="arial" w:hAnsi="arial" w:cs="arial"/>
                <w:b/>
                <w:bCs/>
                <w:i w:val="false"/>
                <w:color w:val="086D06"/>
                <w:sz w:val="18"/>
                <w:szCs w:val="18"/>
              </w:rPr>
              <w:t xml:space="preserve">Low </w:t>
            </w:r>
            <w:r>
              <w:rPr>
                <w:rFonts w:ascii="arial" w:eastAsia="arial" w:hAnsi="arial" w:cs="arial"/>
                <w:b/>
                <w:bCs/>
                <w:i w:val="false"/>
                <w:sz w:val="18"/>
                <w:szCs w:val="18"/>
              </w:rPr>
              <w:t>and Steady</w:t>
            </w:r>
          </w:p>
          <w:p>
            <w:pPr>
              <w:keepNext/>
              <w:keepLines/>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Although some of the products sold by establishments in the Men's Clothing Stores industry are imported into the United States, the trade of these items is accounted for at the manufacturing level. For more information on trade figures for the industry's products, see the Men's and Boys' Apparel Manufacturing industry report (IBISWorld report 31522).</w:t>
            </w:r>
          </w:p>
        </w:tc>
      </w:tr>
    </w:tbl>
    <w:p>
      <w:pPr>
        <w:spacing w:before="0" w:after="0"/>
        <w:rPr>
          <w:vanish/>
        </w:rPr>
      </w:pPr>
    </w:p>
    <w:tbl>
      <w:tblPr>
        <w:tblW w:w="5000" w:type="pct"/>
        <w:jc w:val="left"/>
        <w:tblBorders>
          <w:top w:val="nil"/>
          <w:left w:val="nil"/>
          <w:bottom w:val="nil"/>
          <w:right w:val="nil"/>
          <w:insideH w:val="nil"/>
          <w:insideV w:val="nil"/>
        </w:tblBorders>
      </w:tblP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18" w:name="_Toc19"/>
            <w:r>
              <w:rPr>
                <w:rFonts w:ascii="arial" w:eastAsia="arial" w:hAnsi="arial" w:cs="arial"/>
                <w:b/>
                <w:bCs/>
                <w:i w:val="false"/>
                <w:color w:val="333333"/>
                <w:spacing w:val="4"/>
                <w:sz w:val="21"/>
                <w:szCs w:val="21"/>
              </w:rPr>
              <w:t>Business Locations</w:t>
            </w:r>
            <w:bookmarkEnd w:id="18"/>
          </w:p>
        </w:tc>
        <w:tc>
          <w:tcPr>
            <w:tcW w:w="4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drawing>
                <wp:inline>
                  <wp:extent cx="5238750" cy="5036684"/>
                  <wp:docPr id="79" name="Picture 79"/>
                  <a:graphic xmlns:a="http://schemas.openxmlformats.org/drawingml/2006/main">
                    <a:graphicData uri="http://schemas.openxmlformats.org/drawingml/2006/picture">
                      <pic:pic xmlns:pic="http://schemas.openxmlformats.org/drawingml/2006/picture">
                        <pic:nvPicPr>
                          <pic:cNvPr id="80" name="Picture 80"/>
                          <pic:cNvPicPr/>
                        </pic:nvPicPr>
                        <pic:blipFill>
                          <a:blip r:embed="PictureId37" cstate="print"/>
                          <a:stretch>
                            <a:fillRect/>
                          </a:stretch>
                        </pic:blipFill>
                        <pic:spPr>
                          <a:xfrm>
                            <a:off x="0" y="0"/>
                            <a:ext cx="5238750" cy="5036684"/>
                          </a:xfrm>
                          <a:prstGeom prst="rect">
                            <a:avLst/>
                          </a:prstGeom>
                        </pic:spPr>
                      </pic:pic>
                    </a:graphicData>
                  </a:graphic>
                </wp:inline>
              </w:drawing>
            </w:r>
          </w:p>
        </w:tc>
      </w:tr>
      <w:t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Since exposure is important in gaining customers, location is a key performance factor for operators in the Men's Clothing Stores industry. For this reason, stores are located largely in line with the spread of population in the United States. The Southeast region accounts for 27.6% of establishments in the industry and 25.8% of the total American population in 2020. Likewise, the Mid-Atlantic and West regions represent popular areas for industry establishments and are densely populated; the Mid-Atlantic houses 21.5% of establishments and 15.0% of the population, while the West holds 16.3% of industry locations and 17.2% of the US population.</w:t>
            </w:r>
          </w:p>
          <w:p>
            <w:pPr>
              <w:keepNext/>
              <w:keepLines/>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The Mid-Atlantic region differs from other US regions, as its share of industry establishments significantly outweighs its share of the population. This indicates that there is a higher concentration of wealth in this region. The Mid-Atlantic, and New York in particular, is a hotspot for corporate offices, which boosts demand for men's office wear and formal attire. The Mid-Atlantic region is also home to many wholesalers and domestic manufacturers of men's and boys' clothing. Retailers often choose to open up shop near upstream operators in the supply chain to minimize transportation costs and cut out other expenses such as warehousing. In 2020, IBISWorld estimates that New York and Pennsylvania, which are both located in the Mid-Atlantic region, will hold 10.6% and 4.3% of industry establishments, respectively.</w:t>
            </w:r>
          </w:p>
        </w:tc>
      </w:tr>
      <w:t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drawing>
                <wp:inline>
                  <wp:extent cx="5238750" cy="2645833"/>
                  <wp:docPr id="81" name="Picture 81"/>
                  <a:graphic xmlns:a="http://schemas.openxmlformats.org/drawingml/2006/main">
                    <a:graphicData uri="http://schemas.openxmlformats.org/drawingml/2006/picture">
                      <pic:pic xmlns:pic="http://schemas.openxmlformats.org/drawingml/2006/picture">
                        <pic:nvPicPr>
                          <pic:cNvPr id="82" name="Picture 82"/>
                          <pic:cNvPicPr/>
                        </pic:nvPicPr>
                        <pic:blipFill>
                          <a:blip r:embed="PictureId38" cstate="print"/>
                          <a:stretch>
                            <a:fillRect/>
                          </a:stretch>
                        </pic:blipFill>
                        <pic:spPr>
                          <a:xfrm>
                            <a:off x="0" y="0"/>
                            <a:ext cx="5238750" cy="2645833"/>
                          </a:xfrm>
                          <a:prstGeom prst="rect">
                            <a:avLst/>
                          </a:prstGeom>
                        </pic:spPr>
                      </pic:pic>
                    </a:graphicData>
                  </a:graphic>
                </wp:inline>
              </w:drawing>
            </w:r>
          </w:p>
        </w:tc>
      </w:tr>
    </w:tbl>
    <w:p>
      <w:pPr>
        <w:sectPr>
          <w:headerReference w:type="default" r:id="gemHfRid55"/>
          <w:footerReference w:type="default" r:id="gemHfRid56"/>
          <w:pgSz w:w="11907" w:h="16839" w:code="9"/>
          <w:pgMar w:top="640" w:right="640" w:bottom="640" w:left="640" w:header="0" w:footer="0" w:gutter="0"/>
          <w:cols w:space="708"/>
          <w:docGrid w:linePitch="360"/>
        </w:sectPr>
      </w:pPr>
    </w:p>
    <w:p>
      <w:pPr>
        <w:pStyle w:val="heading 1"/>
        <w:spacing w:before="0" w:after="240" w:lineRule="atLeast" w:line="420"/>
        <w:ind w:left="0" w:right="0" w:hanging="0"/>
        <w:jc w:val="left"/>
        <w:rPr>
          <w:rFonts w:ascii="arial" w:eastAsia="arial" w:hAnsi="arial" w:cs="arial"/>
          <w:b w:val="false"/>
          <w:bCs w:val="false"/>
          <w:i w:val="false"/>
          <w:color w:val="333333"/>
          <w:sz w:val="36"/>
          <w:szCs w:val="36"/>
        </w:rPr>
      </w:pPr>
      <w:bookmarkStart w:id="19" w:name="_Toc20"/>
      <w:r>
        <w:rPr>
          <w:rFonts w:ascii="arial" w:eastAsia="arial" w:hAnsi="arial" w:cs="arial"/>
          <w:b w:val="false"/>
          <w:bCs w:val="false"/>
          <w:i w:val="false"/>
          <w:color w:val="333333"/>
          <w:sz w:val="36"/>
          <w:szCs w:val="36"/>
        </w:rPr>
        <w:t>Competitive Landscape</w:t>
      </w:r>
      <w:bookmarkEnd w:id="19"/>
    </w:p>
    <w:tbl>
      <w:tblPr>
        <w:tblW w:w="5000" w:type="pct"/>
        <w:jc w:val="left"/>
        <w:tblBorders>
          <w:top w:val="nil"/>
          <w:left w:val="nil"/>
          <w:bottom w:val="nil"/>
          <w:right w:val="nil"/>
          <w:insideH w:val="nil"/>
          <w:insideV w:val="nil"/>
        </w:tblBorders>
      </w:tblPr>
      <w:tr>
        <w:tc>
          <w:tcPr>
            <w:tcW w:w="1000" w:type="pct"/>
            <w:vAlign w:val="top"/>
          </w:tcPr>
          <w:p>
            <w:pPr>
              <w:pStyle w:val="heading 2"/>
              <w:keepNext/>
              <w:spacing w:before="0" w:after="0" w:lineRule="atLeast" w:line="270"/>
              <w:ind w:left="0" w:right="0" w:hanging="0"/>
              <w:jc w:val="left"/>
              <w:rPr>
                <w:rFonts w:ascii="arial" w:eastAsia="arial" w:hAnsi="arial" w:cs="arial"/>
                <w:b/>
                <w:bCs/>
                <w:i w:val="false"/>
                <w:color w:val="333333"/>
                <w:spacing w:val="4"/>
                <w:sz w:val="21"/>
                <w:szCs w:val="21"/>
              </w:rPr>
            </w:pPr>
            <w:bookmarkStart w:id="20" w:name="_Toc21"/>
            <w:r>
              <w:rPr>
                <w:rFonts w:ascii="arial" w:eastAsia="arial" w:hAnsi="arial" w:cs="arial"/>
                <w:b/>
                <w:bCs/>
                <w:i w:val="false"/>
                <w:color w:val="333333"/>
                <w:spacing w:val="4"/>
                <w:sz w:val="21"/>
                <w:szCs w:val="21"/>
              </w:rPr>
              <w:t>Market Share Concentration</w:t>
            </w:r>
            <w:bookmarkEnd w:id="20"/>
          </w:p>
        </w:tc>
        <w:tc>
          <w:tcPr>
            <w:tcW w:w="4000" w:type="pct"/>
            <w:vAlign w:val="top"/>
          </w:tcPr>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 xml:space="preserve">Concentration in this industry is </w:t>
            </w:r>
            <w:r>
              <w:rPr>
                <w:rFonts w:ascii="arial" w:eastAsia="arial" w:hAnsi="arial" w:cs="arial"/>
                <w:b w:val="false"/>
                <w:bCs w:val="false"/>
                <w:i w:val="false"/>
                <w:sz w:val="16"/>
                <w:szCs w:val="16"/>
              </w:rPr>
              <w:t xml:space="preserve"> </w:t>
            </w:r>
            <w:r>
              <w:drawing>
                <wp:inline>
                  <wp:extent cx="91440" cy="91440"/>
                  <wp:docPr id="83" name="Picture 83" descr="Good"/>
                  <a:graphic xmlns:a="http://schemas.openxmlformats.org/drawingml/2006/main">
                    <a:graphicData uri="http://schemas.openxmlformats.org/drawingml/2006/picture">
                      <pic:pic xmlns:pic="http://schemas.openxmlformats.org/drawingml/2006/picture">
                        <pic:nvPicPr>
                          <pic:cNvPr id="84" name="Picture 84"/>
                          <pic:cNvPicPr/>
                        </pic:nvPicPr>
                        <pic:blipFill>
                          <a:blip r:embed="PictureId39"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6"/>
                <w:szCs w:val="16"/>
              </w:rPr>
              <w:t xml:space="preserve">  </w:t>
            </w:r>
            <w:r>
              <w:rPr>
                <w:rFonts w:ascii="arial" w:eastAsia="arial" w:hAnsi="arial" w:cs="arial"/>
                <w:b/>
                <w:bCs/>
                <w:i w:val="false"/>
                <w:color w:val="086D06"/>
                <w:sz w:val="18"/>
                <w:szCs w:val="18"/>
              </w:rPr>
              <w:t>Low</w:t>
            </w:r>
          </w:p>
          <w:p>
            <w:pPr>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The Men's Clothing Stores industry exhibits a low level of market share concentration, with the top two players accounting for 13.0% of total industry revenue in 2020. Major player concentration has increased over the majority of the five-year period, with acquisitions and mergers facilitating such conditions. For example, Tailored Brands Inc. acquired Jos. A. Bank in 2014, significantly increasing its share of the market and making it the only major player within the industry. However, market share dropped significantly in 2020 as the industry's largest players are anticipated to perform worse than the average industry operator, mainly due to their reliance on demand for formalwear and suits. However, expansion for this industry is traditionally limited because most major retailers will expand to offer clothing for women and children, which effectively removes them from the industry. </w:t>
            </w:r>
            <w:r>
              <w:drawing>
                <wp:anchor distT="0" distB="0" distL="115200" distR="115200" simplePos="false" relativeHeight="251659264" behindDoc="false" locked="false" layoutInCell="true" allowOverlap="true">
                  <wp:simplePos x="0" y="0"/>
                  <wp:positionH relativeFrom="margin">
                    <wp:align>right</wp:align>
                  </wp:positionH>
                  <wp:positionV relativeFrom="paragraph">
                    <wp:posOffset>0</wp:posOffset>
                  </wp:positionV>
                  <wp:extent cx="2381250" cy="2857500"/>
                  <wp:wrapSquare wrapText="bothSides"/>
                  <wp:docPr id="85" name="Picture 85"/>
                  <a:graphic xmlns:a="http://schemas.openxmlformats.org/drawingml/2006/main">
                    <a:graphicData uri="http://schemas.openxmlformats.org/drawingml/2006/picture">
                      <pic:pic xmlns:pic="http://schemas.openxmlformats.org/drawingml/2006/picture">
                        <pic:nvPicPr>
                          <pic:cNvPr id="86" name="Picture 86"/>
                          <pic:cNvPicPr/>
                        </pic:nvPicPr>
                        <pic:blipFill>
                          <a:blip r:embed="PictureId40" cstate="print"/>
                          <a:stretch>
                            <a:fillRect/>
                          </a:stretch>
                        </pic:blipFill>
                        <pic:spPr>
                          <a:xfrm>
                            <a:off x="0" y="0"/>
                            <a:ext cx="2381250" cy="2857500"/>
                          </a:xfrm>
                          <a:prstGeom prst="rect">
                            <a:avLst/>
                          </a:prstGeom>
                        </pic:spPr>
                      </pic:pic>
                    </a:graphicData>
                  </a:graphic>
                </wp:anchor>
              </w:drawing>
            </w:r>
          </w:p>
        </w:tc>
      </w:tr>
      <w:tr>
        <w:tc>
          <w:tcPr>
            <w:tcW w:w="4000" w:type="pct"/>
            <w:gridSpan w:val="2"/>
            <w:vAlign w:val="top"/>
          </w:tcPr>
          <w:p>
            <w:pPr>
              <w:spacing w:before="0" w:after="0" w:lineRule="atLeast" w:line="225"/>
              <w:ind w:hanging="0"/>
              <w:jc w:val="left"/>
              <w:rPr>
                <w:rFonts w:ascii="arial" w:eastAsia="arial" w:hAnsi="arial" w:cs="arial"/>
                <w:b w:val="false"/>
                <w:bCs w:val="false"/>
                <w:i w:val="false"/>
                <w:sz w:val="16"/>
                <w:szCs w:val="16"/>
              </w:rPr>
            </w:pPr>
          </w:p>
        </w:tc>
      </w:tr>
      <w:tr>
        <w:tc>
          <w:tcPr>
            <w:tcW w:w="1000" w:type="pct"/>
            <w:vAlign w:val="top"/>
          </w:tcPr>
          <w:p>
            <w:pPr>
              <w:pStyle w:val="heading 2"/>
              <w:keepNext/>
              <w:spacing w:before="0" w:after="0" w:lineRule="atLeast" w:line="270"/>
              <w:ind w:left="0" w:right="0" w:hanging="0"/>
              <w:jc w:val="left"/>
              <w:rPr>
                <w:rFonts w:ascii="arial" w:eastAsia="arial" w:hAnsi="arial" w:cs="arial"/>
                <w:b/>
                <w:bCs/>
                <w:i w:val="false"/>
                <w:color w:val="333333"/>
                <w:spacing w:val="4"/>
                <w:sz w:val="21"/>
                <w:szCs w:val="21"/>
              </w:rPr>
            </w:pPr>
            <w:bookmarkStart w:id="21" w:name="_Toc22"/>
            <w:r>
              <w:rPr>
                <w:rFonts w:ascii="arial" w:eastAsia="arial" w:hAnsi="arial" w:cs="arial"/>
                <w:b/>
                <w:bCs/>
                <w:i w:val="false"/>
                <w:color w:val="333333"/>
                <w:spacing w:val="4"/>
                <w:sz w:val="21"/>
                <w:szCs w:val="21"/>
              </w:rPr>
              <w:t xml:space="preserve">Key Success </w:t>
            </w:r>
            <w:r>
              <w:br/>
            </w:r>
            <w:r>
              <w:rPr>
                <w:rFonts w:ascii="arial" w:eastAsia="arial" w:hAnsi="arial" w:cs="arial"/>
                <w:b/>
                <w:bCs/>
                <w:i w:val="false"/>
                <w:color w:val="333333"/>
                <w:spacing w:val="4"/>
                <w:sz w:val="21"/>
                <w:szCs w:val="21"/>
              </w:rPr>
              <w:t>Factors</w:t>
            </w:r>
            <w:bookmarkEnd w:id="21"/>
          </w:p>
        </w:tc>
        <w:tc>
          <w:tcPr>
            <w:tcW w:w="4000" w:type="pct"/>
            <w:vAlign w:val="top"/>
          </w:tcPr>
          <w:p>
            <w:pPr>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IBISWorld identifies 250 Key Success Factors for a business. The most important for this industry are:</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Ability to control stock on hand:</w:t>
            </w:r>
            <w:r>
              <w:br/>
            </w:r>
            <w:r>
              <w:rPr>
                <w:rFonts w:ascii="arial" w:eastAsia="arial" w:hAnsi="arial" w:cs="arial"/>
                <w:b w:val="false"/>
                <w:bCs w:val="false"/>
                <w:i w:val="false"/>
                <w:sz w:val="16"/>
                <w:szCs w:val="16"/>
              </w:rPr>
              <w:t>Stock control is important for operators to avoid oversupply and shortages in inventory.</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Having a clear market position:</w:t>
            </w:r>
            <w:r>
              <w:br/>
            </w:r>
            <w:r>
              <w:rPr>
                <w:rFonts w:ascii="arial" w:eastAsia="arial" w:hAnsi="arial" w:cs="arial"/>
                <w:b w:val="false"/>
                <w:bCs w:val="false"/>
                <w:i w:val="false"/>
                <w:sz w:val="16"/>
                <w:szCs w:val="16"/>
              </w:rPr>
              <w:t>Market positioning projects a clear and consistent image of the company and attracts consumers.</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Establishment of brand names:</w:t>
            </w:r>
            <w:r>
              <w:br/>
            </w:r>
            <w:r>
              <w:rPr>
                <w:rFonts w:ascii="arial" w:eastAsia="arial" w:hAnsi="arial" w:cs="arial"/>
                <w:b w:val="false"/>
                <w:bCs w:val="false"/>
                <w:i w:val="false"/>
                <w:sz w:val="16"/>
                <w:szCs w:val="16"/>
              </w:rPr>
              <w:t>Men's clothing retailers that supply brand names and establish recognition from consumers often benefit from higher demand.</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Production of goods currently favored by the market:</w:t>
            </w:r>
            <w:r>
              <w:br/>
            </w:r>
            <w:r>
              <w:rPr>
                <w:rFonts w:ascii="arial" w:eastAsia="arial" w:hAnsi="arial" w:cs="arial"/>
                <w:b w:val="false"/>
                <w:bCs w:val="false"/>
                <w:i w:val="false"/>
                <w:sz w:val="16"/>
                <w:szCs w:val="16"/>
              </w:rPr>
              <w:t>Stores that stock clothing items in line with current fashion trends are more likely to entice consumer spending.</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Experienced work force:</w:t>
            </w:r>
            <w:r>
              <w:br/>
            </w:r>
            <w:r>
              <w:rPr>
                <w:rFonts w:ascii="arial" w:eastAsia="arial" w:hAnsi="arial" w:cs="arial"/>
                <w:b w:val="false"/>
                <w:bCs w:val="false"/>
                <w:i w:val="false"/>
                <w:sz w:val="16"/>
                <w:szCs w:val="16"/>
              </w:rPr>
              <w:t>Quality customer service is an important factor in a consumer’s shopping experience and can influence purchasing decisions.</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Attractive product presentation:</w:t>
            </w:r>
            <w:r>
              <w:br/>
            </w:r>
            <w:r>
              <w:rPr>
                <w:rFonts w:ascii="arial" w:eastAsia="arial" w:hAnsi="arial" w:cs="arial"/>
                <w:b w:val="false"/>
                <w:bCs w:val="false"/>
                <w:i w:val="false"/>
                <w:sz w:val="16"/>
                <w:szCs w:val="16"/>
              </w:rPr>
              <w:t>The store layout and product display must encourage consumers to purchase goods and reinforce the company image.</w:t>
            </w:r>
          </w:p>
          <w:p>
            <w:pPr>
              <w:spacing w:before="0" w:after="12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Adaptability of operations to comply with social distancing protocols:</w:t>
            </w:r>
            <w:r>
              <w:br/>
            </w:r>
            <w:r>
              <w:rPr>
                <w:rFonts w:ascii="arial" w:eastAsia="arial" w:hAnsi="arial" w:cs="arial"/>
                <w:b w:val="false"/>
                <w:bCs w:val="false"/>
                <w:i w:val="false"/>
                <w:sz w:val="16"/>
                <w:szCs w:val="16"/>
              </w:rPr>
              <w:t>As industry operators begin to reopen their establishments they need to ensure that they are able to comply with state-specific protocols related to COVID-19, such as capacity limits, social distancing and face mask requirements.</w:t>
            </w:r>
          </w:p>
        </w:tc>
      </w:tr>
      <w:tr>
        <w:tc>
          <w:tcPr>
            <w:tcW w:w="4000" w:type="pct"/>
            <w:gridSpan w:val="2"/>
            <w:vAlign w:val="top"/>
          </w:tcPr>
          <w:p>
            <w:pPr>
              <w:spacing w:before="0" w:after="0" w:lineRule="atLeast" w:line="225"/>
              <w:ind w:hanging="0"/>
              <w:jc w:val="left"/>
              <w:rPr>
                <w:rFonts w:ascii="arial" w:eastAsia="arial" w:hAnsi="arial" w:cs="arial"/>
                <w:b w:val="false"/>
                <w:bCs w:val="false"/>
                <w:i w:val="false"/>
                <w:sz w:val="16"/>
                <w:szCs w:val="16"/>
              </w:rPr>
            </w:pPr>
          </w:p>
        </w:tc>
      </w:tr>
      <w:tr>
        <w:trPr>
          <w:cantSplit/>
        </w:trPr>
        <w:tc>
          <w:tcPr>
            <w:tcW w:w="1000" w:type="pct"/>
            <w:vAlign w:val="top"/>
          </w:tcPr>
          <w:p>
            <w:pPr>
              <w:pStyle w:val="heading 2"/>
              <w:keepNext/>
              <w:spacing w:before="0" w:after="0" w:lineRule="atLeast" w:line="270"/>
              <w:ind w:left="0" w:right="0" w:hanging="0"/>
              <w:jc w:val="left"/>
              <w:rPr>
                <w:rFonts w:ascii="arial" w:eastAsia="arial" w:hAnsi="arial" w:cs="arial"/>
                <w:b/>
                <w:bCs/>
                <w:i w:val="false"/>
                <w:color w:val="333333"/>
                <w:spacing w:val="4"/>
                <w:sz w:val="21"/>
                <w:szCs w:val="21"/>
              </w:rPr>
            </w:pPr>
            <w:bookmarkStart w:id="22" w:name="_Toc23"/>
            <w:r>
              <w:rPr>
                <w:rFonts w:ascii="arial" w:eastAsia="arial" w:hAnsi="arial" w:cs="arial"/>
                <w:b/>
                <w:bCs/>
                <w:i w:val="false"/>
                <w:color w:val="333333"/>
                <w:spacing w:val="4"/>
                <w:sz w:val="21"/>
                <w:szCs w:val="21"/>
              </w:rPr>
              <w:t xml:space="preserve">Cost Structure </w:t>
            </w:r>
            <w:r>
              <w:br/>
            </w:r>
            <w:r>
              <w:rPr>
                <w:rFonts w:ascii="arial" w:eastAsia="arial" w:hAnsi="arial" w:cs="arial"/>
                <w:b/>
                <w:bCs/>
                <w:i w:val="false"/>
                <w:color w:val="333333"/>
                <w:spacing w:val="4"/>
                <w:sz w:val="21"/>
                <w:szCs w:val="21"/>
              </w:rPr>
              <w:t>Benchmarks</w:t>
            </w:r>
            <w:bookmarkEnd w:id="22"/>
          </w:p>
        </w:tc>
        <w:tc>
          <w:tcPr>
            <w:tcW w:w="4000" w:type="pct"/>
            <w:vAlign w:val="top"/>
          </w:tcPr>
          <w:p>
            <w:pPr>
              <w:spacing w:before="0" w:after="0" w:lineRule="atLeast" w:line="225"/>
              <w:ind w:hanging="0"/>
              <w:jc w:val="left"/>
              <w:rPr>
                <w:rFonts w:ascii="arial" w:eastAsia="arial" w:hAnsi="arial" w:cs="arial"/>
                <w:b w:val="false"/>
                <w:bCs w:val="false"/>
                <w:i w:val="false"/>
                <w:sz w:val="16"/>
                <w:szCs w:val="16"/>
              </w:rPr>
            </w:pPr>
            <w:r>
              <w:drawing>
                <wp:inline>
                  <wp:extent cx="5238750" cy="2672832"/>
                  <wp:docPr id="87" name="Picture 87"/>
                  <a:graphic xmlns:a="http://schemas.openxmlformats.org/drawingml/2006/main">
                    <a:graphicData uri="http://schemas.openxmlformats.org/drawingml/2006/picture">
                      <pic:pic xmlns:pic="http://schemas.openxmlformats.org/drawingml/2006/picture">
                        <pic:nvPicPr>
                          <pic:cNvPr id="88" name="Picture 88"/>
                          <pic:cNvPicPr/>
                        </pic:nvPicPr>
                        <pic:blipFill>
                          <a:blip r:embed="PictureId41" cstate="print"/>
                          <a:stretch>
                            <a:fillRect/>
                          </a:stretch>
                        </pic:blipFill>
                        <pic:spPr>
                          <a:xfrm>
                            <a:off x="0" y="0"/>
                            <a:ext cx="5238750" cy="2672832"/>
                          </a:xfrm>
                          <a:prstGeom prst="rect">
                            <a:avLst/>
                          </a:prstGeom>
                        </pic:spPr>
                      </pic:pic>
                    </a:graphicData>
                  </a:graphic>
                </wp:inline>
              </w:drawing>
            </w:r>
          </w:p>
        </w:tc>
      </w:tr>
      <w:tr>
        <w:tc>
          <w:tcPr>
            <w:tcW w:w="4000" w:type="pct"/>
            <w:gridSpan w:val="2"/>
            <w:vAlign w:val="top"/>
          </w:tcPr>
          <w:p>
            <w:pPr>
              <w:spacing w:before="0" w:after="0" w:lineRule="atLeast" w:line="225"/>
              <w:ind w:hanging="0"/>
              <w:jc w:val="left"/>
              <w:rPr>
                <w:rFonts w:ascii="arial" w:eastAsia="arial" w:hAnsi="arial" w:cs="arial"/>
                <w:b w:val="false"/>
                <w:bCs w:val="false"/>
                <w:i w:val="false"/>
                <w:sz w:val="16"/>
                <w:szCs w:val="16"/>
              </w:rPr>
            </w:pPr>
          </w:p>
        </w:tc>
      </w:tr>
      <w:tr>
        <w:tc>
          <w:tcPr>
            <w:tcW w:w="4000" w:type="pct"/>
            <w:gridSpan w:val="2"/>
            <w:vAlign w:val="top"/>
          </w:tcPr>
          <w:tbl>
            <w:tblPr>
              <w:tblW w:w="5000" w:type="pct"/>
              <w:jc w:val="left"/>
              <w:tblBorders>
                <w:top w:val="nil"/>
                <w:left w:val="nil"/>
                <w:bottom w:val="nil"/>
                <w:right w:val="nil"/>
                <w:insideH w:val="nil"/>
                <w:insideV w:val="nil"/>
              </w:tblBorders>
            </w:tblPr>
            <w:tr>
              <w:trPr>
                <w:cantSplit/>
              </w:trP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top"/>
                </w:tcPr>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Profit</w:t>
                  </w:r>
                </w:p>
                <w:p>
                  <w:pPr>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In 2020, profit, measured as earnings before interest and taxes, for the Men's Clothing Stores industry is expected to make up 0.9% of industry revenue. Profit has declined over the past five years, falling from 2.7% in 2015, as operators have increased marketing budgets and slashed prices in response to heightened competition. As industry operators have experienced increased competition, particularly from online-based businesses that incur lower overhead costs, they have been pushed to invest in advertising or lower selling prices to remain competitive. Furthermore, average rent costs have increased for industry operators, as many businesses have been setting up stores in high foot-traffic areas to increase visibility. These central locations command a higher price tag, and this factor has eaten into profit. Additionally, the outbreak of COVID-19 (coronavirus) has caused further declines in margins as operators had to temorarily close retail locations, limiting their ability to generate in-store revenue. As a result, many operators were unable to cover or adjust overhead costs, such as rent and purchases, leading to further shrinking in profit margins.</w:t>
                  </w:r>
                </w:p>
              </w:tc>
              <w:tc>
                <w:tcPr>
                  <w:tcW w:w="1500" w:type="pct"/>
                  <w:vAlign w:val="top"/>
                </w:tcPr>
                <w:p>
                  <w:pPr>
                    <w:spacing w:before="0" w:after="0" w:lineRule="atLeast" w:line="225"/>
                    <w:ind w:hanging="0"/>
                    <w:jc w:val="left"/>
                    <w:rPr>
                      <w:rFonts w:ascii="arial" w:eastAsia="arial" w:hAnsi="arial" w:cs="arial"/>
                      <w:b w:val="false"/>
                      <w:bCs w:val="false"/>
                      <w:i w:val="false"/>
                      <w:sz w:val="16"/>
                      <w:szCs w:val="16"/>
                    </w:rPr>
                  </w:pPr>
                  <w:r>
                    <w:drawing>
                      <wp:inline>
                        <wp:extent cx="2095500" cy="2095500"/>
                        <wp:docPr id="89" name="Picture 89"/>
                        <a:graphic xmlns:a="http://schemas.openxmlformats.org/drawingml/2006/main">
                          <a:graphicData uri="http://schemas.openxmlformats.org/drawingml/2006/picture">
                            <pic:pic xmlns:pic="http://schemas.openxmlformats.org/drawingml/2006/picture">
                              <pic:nvPicPr>
                                <pic:cNvPr id="90" name="Picture 90"/>
                                <pic:cNvPicPr/>
                              </pic:nvPicPr>
                              <pic:blipFill>
                                <a:blip r:embed="PictureId42" cstate="print"/>
                                <a:stretch>
                                  <a:fillRect/>
                                </a:stretch>
                              </pic:blipFill>
                              <pic:spPr>
                                <a:xfrm>
                                  <a:off x="0" y="0"/>
                                  <a:ext cx="2095500" cy="2095500"/>
                                </a:xfrm>
                                <a:prstGeom prst="rect">
                                  <a:avLst/>
                                </a:prstGeom>
                              </pic:spPr>
                            </pic:pic>
                          </a:graphicData>
                        </a:graphic>
                      </wp:inline>
                    </w:drawing>
                  </w:r>
                </w:p>
              </w:tc>
            </w:tr>
          </w:tbl>
          <w:p>
            <w:pPr/>
          </w:p>
        </w:tc>
      </w:tr>
      <w:t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p>
        </w:tc>
      </w:tr>
      <w:tr>
        <w:tc>
          <w:tcPr>
            <w:tcW w:w="4000" w:type="pct"/>
            <w:gridSpan w:val="2"/>
            <w:vAlign w:val="top"/>
          </w:tcPr>
          <w:tbl>
            <w:tblPr>
              <w:tblW w:w="5000" w:type="pct"/>
              <w:jc w:val="left"/>
              <w:tblBorders>
                <w:top w:val="nil"/>
                <w:left w:val="nil"/>
                <w:bottom w:val="nil"/>
                <w:right w:val="nil"/>
                <w:insideH w:val="nil"/>
                <w:insideV w:val="nil"/>
              </w:tblBorders>
            </w:tblPr>
            <w:tr>
              <w:trPr>
                <w:cantSplit/>
              </w:trP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top"/>
                </w:tcPr>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Wages</w:t>
                  </w:r>
                </w:p>
                <w:p>
                  <w:pPr>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Retailing industries are fairly labor intensive because employees are needed to carry out customer service and general front-of-house operations. Wage costs in this industry are expected to account for 20.4% of industry revenue in 2020. A large portion of labor in the retailing industry is casual and part-time, a common characteristic across the entire clothing retail sector. Retailers undertake administrative activities such as customer service, product merchandising, inventory control and cash handling. Over the five years to 2020, wages as a percentage of revenue have increased since revenue has declined at a faster rate than wages.</w:t>
                  </w:r>
                </w:p>
              </w:tc>
              <w:tc>
                <w:tcPr>
                  <w:tcW w:w="1500" w:type="pct"/>
                  <w:vAlign w:val="top"/>
                </w:tcPr>
                <w:p>
                  <w:pPr>
                    <w:spacing w:before="0" w:after="0" w:lineRule="atLeast" w:line="225"/>
                    <w:ind w:hanging="0"/>
                    <w:jc w:val="left"/>
                    <w:rPr>
                      <w:rFonts w:ascii="arial" w:eastAsia="arial" w:hAnsi="arial" w:cs="arial"/>
                      <w:b w:val="false"/>
                      <w:bCs w:val="false"/>
                      <w:i w:val="false"/>
                      <w:sz w:val="16"/>
                      <w:szCs w:val="16"/>
                    </w:rPr>
                  </w:pPr>
                  <w:r>
                    <w:drawing>
                      <wp:inline>
                        <wp:extent cx="2095500" cy="2095500"/>
                        <wp:docPr id="91" name="Picture 91"/>
                        <a:graphic xmlns:a="http://schemas.openxmlformats.org/drawingml/2006/main">
                          <a:graphicData uri="http://schemas.openxmlformats.org/drawingml/2006/picture">
                            <pic:pic xmlns:pic="http://schemas.openxmlformats.org/drawingml/2006/picture">
                              <pic:nvPicPr>
                                <pic:cNvPr id="92" name="Picture 92"/>
                                <pic:cNvPicPr/>
                              </pic:nvPicPr>
                              <pic:blipFill>
                                <a:blip r:embed="PictureId43" cstate="print"/>
                                <a:stretch>
                                  <a:fillRect/>
                                </a:stretch>
                              </pic:blipFill>
                              <pic:spPr>
                                <a:xfrm>
                                  <a:off x="0" y="0"/>
                                  <a:ext cx="2095500" cy="2095500"/>
                                </a:xfrm>
                                <a:prstGeom prst="rect">
                                  <a:avLst/>
                                </a:prstGeom>
                              </pic:spPr>
                            </pic:pic>
                          </a:graphicData>
                        </a:graphic>
                      </wp:inline>
                    </w:drawing>
                  </w:r>
                </w:p>
              </w:tc>
            </w:tr>
          </w:tbl>
          <w:p>
            <w:pPr/>
          </w:p>
        </w:tc>
      </w:tr>
      <w:t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spacing w:before="0" w:after="0" w:lineRule="atLeast" w:line="225"/>
              <w:ind w:hanging="0"/>
              <w:jc w:val="left"/>
              <w:rPr>
                <w:rFonts w:ascii="arial" w:eastAsia="arial" w:hAnsi="arial" w:cs="arial"/>
                <w:b w:val="false"/>
                <w:bCs w:val="false"/>
                <w:i w:val="false"/>
                <w:sz w:val="16"/>
                <w:szCs w:val="16"/>
              </w:rPr>
            </w:pPr>
            <w:r>
              <w:drawing>
                <wp:inline>
                  <wp:extent cx="5238750" cy="1746250"/>
                  <wp:docPr id="93" name="Picture 93"/>
                  <a:graphic xmlns:a="http://schemas.openxmlformats.org/drawingml/2006/main">
                    <a:graphicData uri="http://schemas.openxmlformats.org/drawingml/2006/picture">
                      <pic:pic xmlns:pic="http://schemas.openxmlformats.org/drawingml/2006/picture">
                        <pic:nvPicPr>
                          <pic:cNvPr id="94" name="Picture 94"/>
                          <pic:cNvPicPr/>
                        </pic:nvPicPr>
                        <pic:blipFill>
                          <a:blip r:embed="PictureId44" cstate="print"/>
                          <a:stretch>
                            <a:fillRect/>
                          </a:stretch>
                        </pic:blipFill>
                        <pic:spPr>
                          <a:xfrm>
                            <a:off x="0" y="0"/>
                            <a:ext cx="5238750" cy="1746250"/>
                          </a:xfrm>
                          <a:prstGeom prst="rect">
                            <a:avLst/>
                          </a:prstGeom>
                        </pic:spPr>
                      </pic:pic>
                    </a:graphicData>
                  </a:graphic>
                </wp:inline>
              </w:drawing>
            </w:r>
            <w:r>
              <w:br/>
            </w:r>
          </w:p>
        </w:tc>
      </w:tr>
      <w:tr>
        <w:tc>
          <w:tcPr>
            <w:tcW w:w="4000" w:type="pct"/>
            <w:gridSpan w:val="2"/>
            <w:vAlign w:val="top"/>
          </w:tcPr>
          <w:tbl>
            <w:tblPr>
              <w:tblW w:w="5000" w:type="pct"/>
              <w:jc w:val="left"/>
              <w:tblBorders>
                <w:top w:val="nil"/>
                <w:left w:val="nil"/>
                <w:bottom w:val="nil"/>
                <w:right w:val="nil"/>
                <w:insideH w:val="nil"/>
                <w:insideV w:val="nil"/>
              </w:tblBorders>
            </w:tblPr>
            <w:tr>
              <w:trPr>
                <w:cantSplit/>
              </w:trP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top"/>
                </w:tcPr>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Purchases</w:t>
                  </w:r>
                </w:p>
                <w:p>
                  <w:pPr>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Purchases are the largest cost for industry players, accounting for an estimated 44.7% of industry revenue. High purchasing costs are typical for industries within the retail sector, as operators must originally purchase a sizable inventory. Purchase costs have remained the largest expense for industry operators over the past five years. Increased import penetration from low-cost countries, such as China, will likely decrease purchase costs for industry operators in the future. Clothing manufactured in China is relatively inexpensive compared with US-produced apparel; therefore, as import penetration increased, purchasing foreign-produced goods became more accessible and decreased the cost of industry purchases. However, due to the uncertainty regarding the relationship between the United States and China, operators may have to search elsewhere for manufacturing facilities. Additionally, due to supply chain disruptions as a result of COVID-19 (coronavirus), purchase costs are anticipated to fluctuate in 2020.</w:t>
                  </w:r>
                </w:p>
              </w:tc>
              <w:tc>
                <w:tcPr>
                  <w:tcW w:w="1500" w:type="pct"/>
                  <w:vAlign w:val="top"/>
                </w:tcPr>
                <w:p>
                  <w:pPr>
                    <w:spacing w:before="0" w:after="0" w:lineRule="atLeast" w:line="225"/>
                    <w:ind w:hanging="0"/>
                    <w:jc w:val="left"/>
                    <w:rPr>
                      <w:rFonts w:ascii="arial" w:eastAsia="arial" w:hAnsi="arial" w:cs="arial"/>
                      <w:b w:val="false"/>
                      <w:bCs w:val="false"/>
                      <w:i w:val="false"/>
                      <w:sz w:val="16"/>
                      <w:szCs w:val="16"/>
                    </w:rPr>
                  </w:pPr>
                  <w:r>
                    <w:drawing>
                      <wp:inline>
                        <wp:extent cx="2095500" cy="2095500"/>
                        <wp:docPr id="95" name="Picture 95"/>
                        <a:graphic xmlns:a="http://schemas.openxmlformats.org/drawingml/2006/main">
                          <a:graphicData uri="http://schemas.openxmlformats.org/drawingml/2006/picture">
                            <pic:pic xmlns:pic="http://schemas.openxmlformats.org/drawingml/2006/picture">
                              <pic:nvPicPr>
                                <pic:cNvPr id="96" name="Picture 96"/>
                                <pic:cNvPicPr/>
                              </pic:nvPicPr>
                              <pic:blipFill>
                                <a:blip r:embed="PictureId45" cstate="print"/>
                                <a:stretch>
                                  <a:fillRect/>
                                </a:stretch>
                              </pic:blipFill>
                              <pic:spPr>
                                <a:xfrm>
                                  <a:off x="0" y="0"/>
                                  <a:ext cx="2095500" cy="2095500"/>
                                </a:xfrm>
                                <a:prstGeom prst="rect">
                                  <a:avLst/>
                                </a:prstGeom>
                              </pic:spPr>
                            </pic:pic>
                          </a:graphicData>
                        </a:graphic>
                      </wp:inline>
                    </w:drawing>
                  </w:r>
                </w:p>
              </w:tc>
            </w:tr>
          </w:tbl>
          <w:p>
            <w:pPr/>
          </w:p>
        </w:tc>
      </w:tr>
      <w:t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spacing w:before="0" w:after="0" w:lineRule="atLeast" w:line="225"/>
              <w:ind w:hanging="0"/>
              <w:jc w:val="left"/>
              <w:rPr>
                <w:rFonts w:ascii="arial" w:eastAsia="arial" w:hAnsi="arial" w:cs="arial"/>
                <w:b w:val="false"/>
                <w:bCs w:val="false"/>
                <w:i w:val="false"/>
                <w:sz w:val="16"/>
                <w:szCs w:val="16"/>
              </w:rPr>
            </w:pPr>
            <w:r>
              <w:br/>
            </w:r>
            <w:r>
              <w:drawing>
                <wp:inline>
                  <wp:extent cx="5238750" cy="1746250"/>
                  <wp:docPr id="97" name="Picture 97"/>
                  <a:graphic xmlns:a="http://schemas.openxmlformats.org/drawingml/2006/main">
                    <a:graphicData uri="http://schemas.openxmlformats.org/drawingml/2006/picture">
                      <pic:pic xmlns:pic="http://schemas.openxmlformats.org/drawingml/2006/picture">
                        <pic:nvPicPr>
                          <pic:cNvPr id="98" name="Picture 98"/>
                          <pic:cNvPicPr/>
                        </pic:nvPicPr>
                        <pic:blipFill>
                          <a:blip r:embed="PictureId46" cstate="print"/>
                          <a:stretch>
                            <a:fillRect/>
                          </a:stretch>
                        </pic:blipFill>
                        <pic:spPr>
                          <a:xfrm>
                            <a:off x="0" y="0"/>
                            <a:ext cx="5238750" cy="1746250"/>
                          </a:xfrm>
                          <a:prstGeom prst="rect">
                            <a:avLst/>
                          </a:prstGeom>
                        </pic:spPr>
                      </pic:pic>
                    </a:graphicData>
                  </a:graphic>
                </wp:inline>
              </w:drawing>
            </w:r>
            <w:r>
              <w:br/>
            </w:r>
          </w:p>
        </w:tc>
      </w:tr>
      <w:tr>
        <w:tc>
          <w:tcPr>
            <w:tcW w:w="4000" w:type="pct"/>
            <w:gridSpan w:val="2"/>
            <w:vAlign w:val="top"/>
          </w:tcPr>
          <w:tbl>
            <w:tblPr>
              <w:tblW w:w="5000" w:type="pct"/>
              <w:jc w:val="left"/>
              <w:tblBorders>
                <w:top w:val="nil"/>
                <w:left w:val="nil"/>
                <w:bottom w:val="nil"/>
                <w:right w:val="nil"/>
                <w:insideH w:val="nil"/>
                <w:insideV w:val="nil"/>
              </w:tblBorders>
            </w:tblPr>
            <w:tr>
              <w:trPr>
                <w:cantSplit/>
              </w:trP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top"/>
                </w:tcPr>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Marketing</w:t>
                  </w:r>
                </w:p>
                <w:p>
                  <w:pPr>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Marketing expenditures are expected to account for 2.2% of revenue in 2020. This figure has dropped slightly compared to 2019 as operators look to cut discretionary expenditures to mitigate losses from the effects of the coronavirus and subsequent economic recession.</w:t>
                  </w:r>
                </w:p>
              </w:tc>
              <w:tc>
                <w:tcPr>
                  <w:tcW w:w="1500" w:type="pct"/>
                  <w:vAlign w:val="top"/>
                </w:tcPr>
                <w:p>
                  <w:pPr>
                    <w:spacing w:before="0" w:after="0" w:lineRule="atLeast" w:line="225"/>
                    <w:ind w:hanging="0"/>
                    <w:jc w:val="left"/>
                    <w:rPr>
                      <w:rFonts w:ascii="arial" w:eastAsia="arial" w:hAnsi="arial" w:cs="arial"/>
                      <w:b w:val="false"/>
                      <w:bCs w:val="false"/>
                      <w:i w:val="false"/>
                      <w:sz w:val="16"/>
                      <w:szCs w:val="16"/>
                    </w:rPr>
                  </w:pPr>
                  <w:r>
                    <w:drawing>
                      <wp:inline>
                        <wp:extent cx="2095500" cy="2095500"/>
                        <wp:docPr id="99" name="Picture 99"/>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PictureId47" cstate="print"/>
                                <a:stretch>
                                  <a:fillRect/>
                                </a:stretch>
                              </pic:blipFill>
                              <pic:spPr>
                                <a:xfrm>
                                  <a:off x="0" y="0"/>
                                  <a:ext cx="2095500" cy="2095500"/>
                                </a:xfrm>
                                <a:prstGeom prst="rect">
                                  <a:avLst/>
                                </a:prstGeom>
                              </pic:spPr>
                            </pic:pic>
                          </a:graphicData>
                        </a:graphic>
                      </wp:inline>
                    </w:drawing>
                  </w:r>
                </w:p>
              </w:tc>
            </w:tr>
          </w:tbl>
          <w:p>
            <w:pPr/>
          </w:p>
        </w:tc>
      </w:tr>
      <w:t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p>
        </w:tc>
      </w:tr>
      <w:tr>
        <w:tc>
          <w:tcPr>
            <w:tcW w:w="4000" w:type="pct"/>
            <w:gridSpan w:val="2"/>
            <w:vAlign w:val="top"/>
          </w:tcPr>
          <w:tbl>
            <w:tblPr>
              <w:tblW w:w="5000" w:type="pct"/>
              <w:jc w:val="left"/>
              <w:tblBorders>
                <w:top w:val="nil"/>
                <w:left w:val="nil"/>
                <w:bottom w:val="nil"/>
                <w:right w:val="nil"/>
                <w:insideH w:val="nil"/>
                <w:insideV w:val="nil"/>
              </w:tblBorders>
            </w:tblPr>
            <w:tr>
              <w:trPr>
                <w:cantSplit/>
              </w:trP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top"/>
                </w:tcPr>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Depreciation</w:t>
                  </w:r>
                </w:p>
                <w:p>
                  <w:pPr>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Depreciation is low because the industry relies predominantly on labor for operations. As a result, depreciation comprises a mere 0.9% of industry revenue.</w:t>
                  </w:r>
                </w:p>
              </w:tc>
              <w:tc>
                <w:tcPr>
                  <w:tcW w:w="1500" w:type="pct"/>
                  <w:vAlign w:val="top"/>
                </w:tcPr>
                <w:p>
                  <w:pPr>
                    <w:spacing w:before="0" w:after="0" w:lineRule="atLeast" w:line="225"/>
                    <w:ind w:hanging="0"/>
                    <w:jc w:val="left"/>
                    <w:rPr>
                      <w:rFonts w:ascii="arial" w:eastAsia="arial" w:hAnsi="arial" w:cs="arial"/>
                      <w:b w:val="false"/>
                      <w:bCs w:val="false"/>
                      <w:i w:val="false"/>
                      <w:sz w:val="16"/>
                      <w:szCs w:val="16"/>
                    </w:rPr>
                  </w:pPr>
                  <w:r>
                    <w:drawing>
                      <wp:inline>
                        <wp:extent cx="2095500" cy="2095500"/>
                        <wp:docPr id="101" name="Picture 101"/>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PictureId48" cstate="print"/>
                                <a:stretch>
                                  <a:fillRect/>
                                </a:stretch>
                              </pic:blipFill>
                              <pic:spPr>
                                <a:xfrm>
                                  <a:off x="0" y="0"/>
                                  <a:ext cx="2095500" cy="2095500"/>
                                </a:xfrm>
                                <a:prstGeom prst="rect">
                                  <a:avLst/>
                                </a:prstGeom>
                              </pic:spPr>
                            </pic:pic>
                          </a:graphicData>
                        </a:graphic>
                      </wp:inline>
                    </w:drawing>
                  </w:r>
                </w:p>
              </w:tc>
            </w:tr>
          </w:tbl>
          <w:p>
            <w:pPr/>
          </w:p>
        </w:tc>
      </w:tr>
      <w:t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p>
        </w:tc>
      </w:tr>
      <w:tr>
        <w:tc>
          <w:tcPr>
            <w:tcW w:w="4000" w:type="pct"/>
            <w:gridSpan w:val="2"/>
            <w:vAlign w:val="top"/>
          </w:tcPr>
          <w:tbl>
            <w:tblPr>
              <w:tblW w:w="5000" w:type="pct"/>
              <w:jc w:val="left"/>
              <w:tblBorders>
                <w:top w:val="nil"/>
                <w:left w:val="nil"/>
                <w:bottom w:val="nil"/>
                <w:right w:val="nil"/>
                <w:insideH w:val="nil"/>
                <w:insideV w:val="nil"/>
              </w:tblBorders>
            </w:tblPr>
            <w:tr>
              <w:trPr>
                <w:cantSplit/>
              </w:trP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top"/>
                </w:tcPr>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Rent</w:t>
                  </w:r>
                </w:p>
                <w:p>
                  <w:pPr>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Much like other industries within the retail sector, rent costs are relatively high. Since many retailers are located in prime locations such as malls or large retail spaces, the cost of renting stores can be significant. Store exposure is a key factor in running a successful retail establishment and retailers require premium storefront space in high-traffic areas to boost demand. Challenged by heightened competition from online retailers over the past five years, industry operators have made an effort to increase exposure, which has increased rent costs. Rent is anticipated to account for 7.1% of industry revenue in 2020.</w:t>
                  </w:r>
                </w:p>
              </w:tc>
              <w:tc>
                <w:tcPr>
                  <w:tcW w:w="1500" w:type="pct"/>
                  <w:vAlign w:val="top"/>
                </w:tcPr>
                <w:p>
                  <w:pPr>
                    <w:spacing w:before="0" w:after="0" w:lineRule="atLeast" w:line="225"/>
                    <w:ind w:hanging="0"/>
                    <w:jc w:val="left"/>
                    <w:rPr>
                      <w:rFonts w:ascii="arial" w:eastAsia="arial" w:hAnsi="arial" w:cs="arial"/>
                      <w:b w:val="false"/>
                      <w:bCs w:val="false"/>
                      <w:i w:val="false"/>
                      <w:sz w:val="16"/>
                      <w:szCs w:val="16"/>
                    </w:rPr>
                  </w:pPr>
                  <w:r>
                    <w:drawing>
                      <wp:inline>
                        <wp:extent cx="2095500" cy="2095500"/>
                        <wp:docPr id="103" name="Picture 103"/>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PictureId49" cstate="print"/>
                                <a:stretch>
                                  <a:fillRect/>
                                </a:stretch>
                              </pic:blipFill>
                              <pic:spPr>
                                <a:xfrm>
                                  <a:off x="0" y="0"/>
                                  <a:ext cx="2095500" cy="2095500"/>
                                </a:xfrm>
                                <a:prstGeom prst="rect">
                                  <a:avLst/>
                                </a:prstGeom>
                              </pic:spPr>
                            </pic:pic>
                          </a:graphicData>
                        </a:graphic>
                      </wp:inline>
                    </w:drawing>
                  </w:r>
                </w:p>
              </w:tc>
            </w:tr>
          </w:tbl>
          <w:p>
            <w:pPr/>
          </w:p>
        </w:tc>
      </w:tr>
      <w:t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spacing w:before="0" w:after="0" w:lineRule="atLeast" w:line="225"/>
              <w:ind w:hanging="0"/>
              <w:jc w:val="left"/>
              <w:rPr>
                <w:rFonts w:ascii="arial" w:eastAsia="arial" w:hAnsi="arial" w:cs="arial"/>
                <w:b w:val="false"/>
                <w:bCs w:val="false"/>
                <w:i w:val="false"/>
                <w:sz w:val="16"/>
                <w:szCs w:val="16"/>
              </w:rPr>
            </w:pPr>
            <w:r>
              <w:br/>
            </w:r>
            <w:r>
              <w:drawing>
                <wp:inline>
                  <wp:extent cx="5238750" cy="1746250"/>
                  <wp:docPr id="105" name="Picture 105"/>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PictureId50" cstate="print"/>
                          <a:stretch>
                            <a:fillRect/>
                          </a:stretch>
                        </pic:blipFill>
                        <pic:spPr>
                          <a:xfrm>
                            <a:off x="0" y="0"/>
                            <a:ext cx="5238750" cy="1746250"/>
                          </a:xfrm>
                          <a:prstGeom prst="rect">
                            <a:avLst/>
                          </a:prstGeom>
                        </pic:spPr>
                      </pic:pic>
                    </a:graphicData>
                  </a:graphic>
                </wp:inline>
              </w:drawing>
            </w:r>
            <w:r>
              <w:br/>
            </w:r>
          </w:p>
        </w:tc>
      </w:tr>
      <w:tr>
        <w:tc>
          <w:tcPr>
            <w:tcW w:w="4000" w:type="pct"/>
            <w:gridSpan w:val="2"/>
            <w:vAlign w:val="top"/>
          </w:tcPr>
          <w:tbl>
            <w:tblPr>
              <w:tblW w:w="5000" w:type="pct"/>
              <w:jc w:val="left"/>
              <w:tblBorders>
                <w:top w:val="nil"/>
                <w:left w:val="nil"/>
                <w:bottom w:val="nil"/>
                <w:right w:val="nil"/>
                <w:insideH w:val="nil"/>
                <w:insideV w:val="nil"/>
              </w:tblBorders>
            </w:tblPr>
            <w:tr>
              <w:trPr>
                <w:cantSplit/>
              </w:trP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top"/>
                </w:tcPr>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Utilities</w:t>
                  </w:r>
                </w:p>
                <w:p>
                  <w:pPr>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Utilities are anticipated to account for 0.8% of industry revenue in 2020. Utility costs depend on the number of locations a company has, but is typically high since it costs a lot to keep a storefront up and running.</w:t>
                  </w:r>
                </w:p>
              </w:tc>
              <w:tc>
                <w:tcPr>
                  <w:tcW w:w="1500" w:type="pct"/>
                  <w:vAlign w:val="top"/>
                </w:tcPr>
                <w:p>
                  <w:pPr>
                    <w:spacing w:before="0" w:after="0" w:lineRule="atLeast" w:line="225"/>
                    <w:ind w:hanging="0"/>
                    <w:jc w:val="left"/>
                    <w:rPr>
                      <w:rFonts w:ascii="arial" w:eastAsia="arial" w:hAnsi="arial" w:cs="arial"/>
                      <w:b w:val="false"/>
                      <w:bCs w:val="false"/>
                      <w:i w:val="false"/>
                      <w:sz w:val="16"/>
                      <w:szCs w:val="16"/>
                    </w:rPr>
                  </w:pPr>
                  <w:r>
                    <w:drawing>
                      <wp:inline>
                        <wp:extent cx="2095500" cy="2095500"/>
                        <wp:docPr id="107" name="Picture 107"/>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PictureId51" cstate="print"/>
                                <a:stretch>
                                  <a:fillRect/>
                                </a:stretch>
                              </pic:blipFill>
                              <pic:spPr>
                                <a:xfrm>
                                  <a:off x="0" y="0"/>
                                  <a:ext cx="2095500" cy="2095500"/>
                                </a:xfrm>
                                <a:prstGeom prst="rect">
                                  <a:avLst/>
                                </a:prstGeom>
                              </pic:spPr>
                            </pic:pic>
                          </a:graphicData>
                        </a:graphic>
                      </wp:inline>
                    </w:drawing>
                  </w:r>
                </w:p>
              </w:tc>
            </w:tr>
          </w:tbl>
          <w:p>
            <w:pPr/>
          </w:p>
        </w:tc>
      </w:tr>
      <w:t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p>
        </w:tc>
      </w:tr>
      <w:tr>
        <w:tc>
          <w:tcPr>
            <w:tcW w:w="4000" w:type="pct"/>
            <w:gridSpan w:val="2"/>
            <w:vAlign w:val="top"/>
          </w:tcPr>
          <w:tbl>
            <w:tblPr>
              <w:tblW w:w="5000" w:type="pct"/>
              <w:jc w:val="left"/>
              <w:tblBorders>
                <w:top w:val="nil"/>
                <w:left w:val="nil"/>
                <w:bottom w:val="nil"/>
                <w:right w:val="nil"/>
                <w:insideH w:val="nil"/>
                <w:insideV w:val="nil"/>
              </w:tblBorders>
            </w:tblPr>
            <w:tr>
              <w:trPr>
                <w:cantSplit/>
              </w:trP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500" w:type="pct"/>
                  <w:vAlign w:val="top"/>
                </w:tcPr>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Other Costs</w:t>
                  </w:r>
                </w:p>
                <w:p>
                  <w:pPr>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Other expenses include legal services and other office administrative costs. Together, these items make up the remaining 22.9% of industry revenue.</w:t>
                  </w:r>
                </w:p>
              </w:tc>
              <w:tc>
                <w:tcPr>
                  <w:tcW w:w="1500" w:type="pct"/>
                  <w:vAlign w:val="top"/>
                </w:tcPr>
                <w:p>
                  <w:pPr>
                    <w:spacing w:before="0" w:after="0" w:lineRule="atLeast" w:line="225"/>
                    <w:ind w:hanging="0"/>
                    <w:jc w:val="left"/>
                    <w:rPr>
                      <w:rFonts w:ascii="arial" w:eastAsia="arial" w:hAnsi="arial" w:cs="arial"/>
                      <w:b w:val="false"/>
                      <w:bCs w:val="false"/>
                      <w:i w:val="false"/>
                      <w:sz w:val="16"/>
                      <w:szCs w:val="16"/>
                    </w:rPr>
                  </w:pPr>
                  <w:r>
                    <w:drawing>
                      <wp:inline>
                        <wp:extent cx="2095500" cy="2095500"/>
                        <wp:docPr id="109" name="Picture 109"/>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PictureId52" cstate="print"/>
                                <a:stretch>
                                  <a:fillRect/>
                                </a:stretch>
                              </pic:blipFill>
                              <pic:spPr>
                                <a:xfrm>
                                  <a:off x="0" y="0"/>
                                  <a:ext cx="2095500" cy="2095500"/>
                                </a:xfrm>
                                <a:prstGeom prst="rect">
                                  <a:avLst/>
                                </a:prstGeom>
                              </pic:spPr>
                            </pic:pic>
                          </a:graphicData>
                        </a:graphic>
                      </wp:inline>
                    </w:drawing>
                  </w:r>
                </w:p>
              </w:tc>
            </w:tr>
          </w:tbl>
          <w:p>
            <w:pPr/>
          </w:p>
        </w:tc>
      </w:tr>
      <w:t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spacing w:before="0" w:after="0" w:lineRule="atLeast" w:line="225"/>
              <w:ind w:hanging="0"/>
              <w:jc w:val="left"/>
              <w:rPr>
                <w:rFonts w:ascii="arial" w:eastAsia="arial" w:hAnsi="arial" w:cs="arial"/>
                <w:b w:val="false"/>
                <w:bCs w:val="false"/>
                <w:i w:val="false"/>
                <w:sz w:val="16"/>
                <w:szCs w:val="16"/>
              </w:rPr>
            </w:pPr>
            <w:r>
              <w:br/>
            </w:r>
            <w:r>
              <w:drawing>
                <wp:inline>
                  <wp:extent cx="5238750" cy="1746250"/>
                  <wp:docPr id="111" name="Picture 111"/>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PictureId53" cstate="print"/>
                          <a:stretch>
                            <a:fillRect/>
                          </a:stretch>
                        </pic:blipFill>
                        <pic:spPr>
                          <a:xfrm>
                            <a:off x="0" y="0"/>
                            <a:ext cx="5238750" cy="1746250"/>
                          </a:xfrm>
                          <a:prstGeom prst="rect">
                            <a:avLst/>
                          </a:prstGeom>
                        </pic:spPr>
                      </pic:pic>
                    </a:graphicData>
                  </a:graphic>
                </wp:inline>
              </w:drawing>
            </w:r>
            <w:r>
              <w:br/>
            </w:r>
          </w:p>
        </w:tc>
      </w:tr>
      <w:tr>
        <w:tc>
          <w:tcPr>
            <w:tcW w:w="4000" w:type="pct"/>
            <w:gridSpan w:val="2"/>
            <w:vAlign w:val="top"/>
          </w:tcPr>
          <w:p>
            <w:pPr>
              <w:spacing w:before="0" w:after="0" w:lineRule="atLeast" w:line="225"/>
              <w:ind w:hanging="0"/>
              <w:jc w:val="left"/>
              <w:rPr>
                <w:rFonts w:ascii="arial" w:eastAsia="arial" w:hAnsi="arial" w:cs="arial"/>
                <w:b w:val="false"/>
                <w:bCs w:val="false"/>
                <w:i w:val="false"/>
                <w:sz w:val="16"/>
                <w:szCs w:val="16"/>
              </w:rPr>
            </w:pPr>
          </w:p>
        </w:tc>
      </w:tr>
      <w:tr>
        <w:tc>
          <w:tcPr>
            <w:tcW w:w="1000" w:type="pct"/>
            <w:vAlign w:val="top"/>
          </w:tcPr>
          <w:p>
            <w:pPr>
              <w:pStyle w:val="heading 2"/>
              <w:keepNext/>
              <w:spacing w:before="0" w:after="0" w:lineRule="atLeast" w:line="270"/>
              <w:ind w:left="0" w:right="0" w:hanging="0"/>
              <w:jc w:val="left"/>
              <w:rPr>
                <w:rFonts w:ascii="arial" w:eastAsia="arial" w:hAnsi="arial" w:cs="arial"/>
                <w:b/>
                <w:bCs/>
                <w:i w:val="false"/>
                <w:color w:val="333333"/>
                <w:spacing w:val="4"/>
                <w:sz w:val="21"/>
                <w:szCs w:val="21"/>
              </w:rPr>
            </w:pPr>
            <w:bookmarkStart w:id="23" w:name="_Toc24"/>
            <w:r>
              <w:rPr>
                <w:rFonts w:ascii="arial" w:eastAsia="arial" w:hAnsi="arial" w:cs="arial"/>
                <w:b/>
                <w:bCs/>
                <w:i w:val="false"/>
                <w:color w:val="333333"/>
                <w:spacing w:val="4"/>
                <w:sz w:val="21"/>
                <w:szCs w:val="21"/>
              </w:rPr>
              <w:t>Basis of</w:t>
            </w:r>
            <w:r>
              <w:br/>
            </w:r>
            <w:r>
              <w:rPr>
                <w:rFonts w:ascii="arial" w:eastAsia="arial" w:hAnsi="arial" w:cs="arial"/>
                <w:b/>
                <w:bCs/>
                <w:i w:val="false"/>
                <w:color w:val="333333"/>
                <w:spacing w:val="4"/>
                <w:sz w:val="21"/>
                <w:szCs w:val="21"/>
              </w:rPr>
              <w:t>Competition</w:t>
            </w:r>
            <w:bookmarkEnd w:id="23"/>
          </w:p>
        </w:tc>
        <w:tc>
          <w:tcPr>
            <w:tcW w:w="4000" w:type="pct"/>
            <w:vAlign w:val="top"/>
          </w:tcPr>
          <w:p>
            <w:pPr>
              <w:spacing w:before="0" w:after="12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 xml:space="preserve">Competition in this industry is </w:t>
            </w:r>
            <w:r>
              <w:rPr>
                <w:rFonts w:ascii="arial" w:eastAsia="arial" w:hAnsi="arial" w:cs="arial"/>
                <w:b w:val="false"/>
                <w:bCs w:val="false"/>
                <w:i w:val="false"/>
                <w:sz w:val="16"/>
                <w:szCs w:val="16"/>
              </w:rPr>
              <w:t xml:space="preserve"> </w:t>
            </w:r>
            <w:r>
              <w:drawing>
                <wp:inline>
                  <wp:extent cx="91440" cy="91440"/>
                  <wp:docPr id="113" name="Picture 113" descr="Bad"/>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PictureId54"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6"/>
                <w:szCs w:val="16"/>
              </w:rPr>
              <w:t xml:space="preserve">  </w:t>
            </w:r>
            <w:r>
              <w:rPr>
                <w:rFonts w:ascii="arial" w:eastAsia="arial" w:hAnsi="arial" w:cs="arial"/>
                <w:b/>
                <w:bCs/>
                <w:i w:val="false"/>
                <w:color w:val="DB1F2C"/>
                <w:sz w:val="18"/>
                <w:szCs w:val="18"/>
              </w:rPr>
              <w:t xml:space="preserve">High </w:t>
            </w:r>
            <w:r>
              <w:rPr>
                <w:rFonts w:ascii="arial" w:eastAsia="arial" w:hAnsi="arial" w:cs="arial"/>
                <w:b/>
                <w:bCs/>
                <w:i w:val="false"/>
                <w:sz w:val="18"/>
                <w:szCs w:val="18"/>
              </w:rPr>
              <w:t>and the trend is Steady</w:t>
            </w:r>
          </w:p>
        </w:tc>
      </w:tr>
      <w:tr>
        <w:tc>
          <w:tcPr>
            <w:tcW w:w="1000" w:type="pct"/>
            <w:vAlign w:val="top"/>
          </w:tcPr>
          <w:p>
            <w:pPr>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spacing w:before="0" w:after="180" w:lineRule="atLeast" w:line="240"/>
              <w:ind w:left="0" w:right="0" w:hanging="0"/>
              <w:jc w:val="left"/>
              <w:rPr>
                <w:rFonts w:ascii="arial" w:eastAsia="arial" w:hAnsi="arial" w:cs="arial"/>
                <w:b w:val="false"/>
                <w:bCs w:val="false"/>
                <w:i w:val="false"/>
                <w:caps/>
                <w:sz w:val="16"/>
                <w:szCs w:val="16"/>
              </w:rPr>
            </w:pPr>
            <w:r>
              <w:rPr>
                <w:rFonts w:ascii="arial" w:eastAsia="arial" w:hAnsi="arial" w:cs="arial"/>
                <w:b/>
                <w:bCs/>
                <w:i w:val="false"/>
                <w:caps/>
                <w:sz w:val="18"/>
                <w:szCs w:val="18"/>
              </w:rPr>
              <w:t>Internal competition</w:t>
            </w:r>
          </w:p>
          <w:p>
            <w:pPr>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Internal competition reflects competition between operators in the Men's Clothing Stores industry.</w:t>
            </w:r>
          </w:p>
          <w:p>
            <w:pPr>
              <w:spacing w:before="0" w:after="0" w:lineRule="atLeast" w:line="225"/>
              <w:ind w:left="0" w:right="0" w:hanging="0"/>
              <w:jc w:val="left"/>
              <w:rPr>
                <w:rFonts w:ascii="arial" w:eastAsia="arial" w:hAnsi="arial" w:cs="arial"/>
                <w:b w:val="false"/>
                <w:bCs w:val="false"/>
                <w:i w:val="false"/>
                <w:sz w:val="16"/>
                <w:szCs w:val="16"/>
              </w:rPr>
            </w:pPr>
          </w:p>
          <w:p>
            <w:pPr>
              <w:spacing w:before="0" w:after="30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Price remains a major basis of competition for the majority of industry participants, particularly those that target low- to middle-income earners; consumers in this space are often sensitive to price changes. Style, variety and comfort are also important factors in regard to gaining a competitive edge.</w:t>
            </w:r>
          </w:p>
          <w:p>
            <w:pPr>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Retailers that target affluent consumers do not compete as much on price as they do on brand, quality of clothing, style and service. Often, retailers will target a particular segment, such as casual wear, formal wear or even clothing in bigger sizes, such as industry player Destination XL. Given the wide variety of factors and market and product segments, retailers can differentiate themselves from other competing stores within proximity. Men's clothing stores also typically compete with similar stores that are located within their prime market area. Consumers will typically favor stores that are conveniently located closer to their homes. Furthermore, operators are now competing on the basis of safety precautions and procedures in-store due to the ongoing health crisis. In order to appeal to as many customers as possible, operators need to implement safety measures such as social distancing, store capacity limits and face mask requirements. If consumers do not feel comfortable shopping in-store at a specific company, they will likely visit another operator.</w:t>
            </w:r>
          </w:p>
          <w:p>
            <w:pPr>
              <w:spacing w:before="0" w:after="180" w:lineRule="atLeast" w:line="240"/>
              <w:ind w:left="0" w:right="0" w:hanging="0"/>
              <w:jc w:val="left"/>
              <w:rPr>
                <w:rFonts w:ascii="arial" w:eastAsia="arial" w:hAnsi="arial" w:cs="arial"/>
                <w:b w:val="false"/>
                <w:bCs w:val="false"/>
                <w:i w:val="false"/>
                <w:caps/>
                <w:sz w:val="16"/>
                <w:szCs w:val="16"/>
              </w:rPr>
            </w:pPr>
            <w:r>
              <w:rPr>
                <w:rFonts w:ascii="arial" w:eastAsia="arial" w:hAnsi="arial" w:cs="arial"/>
                <w:b/>
                <w:bCs/>
                <w:i w:val="false"/>
                <w:caps/>
                <w:sz w:val="18"/>
                <w:szCs w:val="18"/>
              </w:rPr>
              <w:t>External competition</w:t>
            </w:r>
          </w:p>
          <w:p>
            <w:pPr>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External competition primarily comes from apparel stores that sell products in addition to men's clothing.</w:t>
            </w:r>
          </w:p>
          <w:p>
            <w:pPr>
              <w:spacing w:before="0" w:after="0" w:lineRule="atLeast" w:line="225"/>
              <w:ind w:left="0" w:right="0" w:hanging="0"/>
              <w:jc w:val="left"/>
              <w:rPr>
                <w:rFonts w:ascii="arial" w:eastAsia="arial" w:hAnsi="arial" w:cs="arial"/>
                <w:b w:val="false"/>
                <w:bCs w:val="false"/>
                <w:i w:val="false"/>
                <w:sz w:val="16"/>
                <w:szCs w:val="16"/>
              </w:rPr>
            </w:pPr>
          </w:p>
          <w:p>
            <w:pPr>
              <w:spacing w:before="0" w:after="30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Family clothing stores such as the Gap, department stores such as Macy's and discount retailers such as Walmart are all competitors for men's clothing stores. Since clothing from these retailers can be substituted for brand-name or store-specific items from the Men's Clothing Stores industry, price-conscious consumers may choose to make purchases at these alternative retailers. As a one-stop shop for the entire family, these stores also offer an added convenience that is not available at men's-only stores. Similarly, the proximity of these stores to consumers' homes can also be a determining factor in where consumers purchase their clothes.</w:t>
            </w:r>
          </w:p>
          <w:p>
            <w:pPr>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Likewise, the presence of online retailers can also steal sales away from men's clothing stores. Online retailers offer the convenience of shopping from home, especially when a customer already knows the size they need. Moreover, many men prefer the convenience of online shopping relative to going to the store. Furthermore, operators that offer showrooms that let customers try on their products, but ship directly to the consumer are increasingly eating away foot traffic and market share from traditional brick-and-mortar retailers. Competition from online retailers increased dramatically in 2020 as consumers were limited to shopping online as retail stores across the US were temporarily closed to mitigate the spread of COVID-19 (coronavirus).</w:t>
            </w:r>
          </w:p>
        </w:tc>
      </w:tr>
    </w:tbl>
    <w:p>
      <w:pPr>
        <w:spacing w:before="0" w:after="0"/>
        <w:rPr>
          <w:vanish/>
        </w:rPr>
      </w:pPr>
    </w:p>
    <w:tbl>
      <w:tblPr>
        <w:tblW w:w="5000" w:type="pct"/>
        <w:jc w:val="left"/>
        <w:tblBorders>
          <w:top w:val="nil"/>
          <w:left w:val="nil"/>
          <w:bottom w:val="nil"/>
          <w:right w:val="nil"/>
          <w:insideH w:val="nil"/>
          <w:insideV w:val="nil"/>
        </w:tblBorders>
      </w:tblP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rPr>
          <w:cantSplit/>
        </w:trP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24" w:name="_Toc25"/>
            <w:r>
              <w:rPr>
                <w:rFonts w:ascii="arial" w:eastAsia="arial" w:hAnsi="arial" w:cs="arial"/>
                <w:b/>
                <w:bCs/>
                <w:i w:val="false"/>
                <w:color w:val="333333"/>
                <w:spacing w:val="4"/>
                <w:sz w:val="21"/>
                <w:szCs w:val="21"/>
              </w:rPr>
              <w:t xml:space="preserve">Barriers to </w:t>
            </w:r>
            <w:r>
              <w:br/>
            </w:r>
            <w:r>
              <w:rPr>
                <w:rFonts w:ascii="arial" w:eastAsia="arial" w:hAnsi="arial" w:cs="arial"/>
                <w:b/>
                <w:bCs/>
                <w:i w:val="false"/>
                <w:color w:val="333333"/>
                <w:spacing w:val="4"/>
                <w:sz w:val="21"/>
                <w:szCs w:val="21"/>
              </w:rPr>
              <w:t>Entry</w:t>
            </w:r>
            <w:bookmarkEnd w:id="24"/>
          </w:p>
        </w:tc>
        <w:tc>
          <w:tcPr>
            <w:tcW w:w="4000" w:type="pct"/>
            <w:vAlign w:val="top"/>
          </w:tcPr>
          <w:p>
            <w:pPr>
              <w:keepNext/>
              <w:keepLines/>
              <w:spacing w:before="0" w:after="12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 xml:space="preserve">Barriers to Entry in this industry are </w:t>
            </w:r>
            <w:r>
              <w:rPr>
                <w:rFonts w:ascii="arial" w:eastAsia="arial" w:hAnsi="arial" w:cs="arial"/>
                <w:b w:val="false"/>
                <w:bCs w:val="false"/>
                <w:i w:val="false"/>
                <w:sz w:val="16"/>
                <w:szCs w:val="16"/>
              </w:rPr>
              <w:t xml:space="preserve"> </w:t>
            </w:r>
            <w:r>
              <w:drawing>
                <wp:inline>
                  <wp:extent cx="91440" cy="91440"/>
                  <wp:docPr id="115" name="Picture 115" descr="Neutral"/>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PictureId55"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6"/>
                <w:szCs w:val="16"/>
              </w:rPr>
              <w:t xml:space="preserve">  </w:t>
            </w:r>
            <w:r>
              <w:rPr>
                <w:rFonts w:ascii="arial" w:eastAsia="arial" w:hAnsi="arial" w:cs="arial"/>
                <w:b/>
                <w:bCs/>
                <w:i w:val="false"/>
                <w:color w:val="F58232"/>
                <w:sz w:val="18"/>
                <w:szCs w:val="18"/>
              </w:rPr>
              <w:t xml:space="preserve">Medium </w:t>
            </w:r>
            <w:r>
              <w:rPr>
                <w:rFonts w:ascii="arial" w:eastAsia="arial" w:hAnsi="arial" w:cs="arial"/>
                <w:b/>
                <w:bCs/>
                <w:i w:val="false"/>
                <w:sz w:val="18"/>
                <w:szCs w:val="18"/>
              </w:rPr>
              <w:t>and the trend is Steady</w:t>
            </w:r>
          </w:p>
        </w:tc>
      </w:tr>
      <w:tr>
        <w:tc>
          <w:tcPr>
            <w:tcW w:w="4000" w:type="pct"/>
            <w:gridSpan w:val="2"/>
            <w:vAlign w:val="top"/>
          </w:tcPr>
          <w:tbl>
            <w:tblPr>
              <w:tblW w:w="5000" w:type="pct"/>
              <w:jc w:val="left"/>
              <w:tblBorders>
                <w:top w:val="nil"/>
                <w:left w:val="nil"/>
                <w:bottom w:val="nil"/>
                <w:right w:val="nil"/>
                <w:insideH w:val="nil"/>
                <w:insideV w:val="nil"/>
              </w:tblBorders>
            </w:tblPr>
            <w:tr>
              <w:trPr>
                <w:cantSplit/>
              </w:trP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2000" w:type="pct"/>
                  <w:vAlign w:val="top"/>
                </w:tcPr>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Although barriers to entry vary from operator to operator, they are typically moderate and steady throughout the Men's Clothing Stores industry. Initial hurdles for new entrants primarily include securing the capital to lease a space, purchase inventory and hire employees, as well as building a customer base of loyal shoppers.</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Since operators need to be accessible to consumers, industry entrants benefit from setting up shop in highly visible areas with heavy foot traffic; however, these locations often come with higher price tags and require a significant amount of upfront capital. Furthermore, staffing knowledgeable employees often helps boost sales, though higher-skilled employees typically command higher salaries. Competing directly with major players and established brands can be difficult for new industry entrants. Consumer loyalty is important in this competitive industry, and companies that stock well-known and respected brands often fare well; however, stocking a store with high-value brands requires upfront capital, and serves as a barrier to entry in this industry.</w:t>
                  </w:r>
                </w:p>
                <w:p>
                  <w:pPr>
                    <w:keepNext/>
                    <w:keepLines/>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There are no major regulatory or license requirements to compete in this industry. A considerable number of establishments are nonemploying companies and the wide variety of product and market segments enables new entrants to target a niche market that may be underserved.</w:t>
                  </w:r>
                </w:p>
              </w:tc>
              <w:tc>
                <w:tcPr>
                  <w:tcW w:w="2000" w:type="pct"/>
                  <w:tcMar>
                    <w:top w:w="0" w:type="dxa"/>
                    <w:left w:w="75" w:type="dxa"/>
                    <w:bottom w:w="0" w:type="dxa"/>
                    <w:right w:w="0" w:type="dxa"/>
                  </w:tcMar>
                  <w:vAlign w:val="top"/>
                </w:tcPr>
                <w:tbl>
                  <w:tblPr>
                    <w:tblW w:w="5000" w:type="pct"/>
                    <w:jc w:val="left"/>
                    <w:tblCellSpacing w:w="0" w:type="dxa"/>
                    <w:tblBorders>
                      <w:top w:val="nil"/>
                      <w:left w:val="nil"/>
                      <w:bottom w:val="nil"/>
                      <w:right w:val="nil"/>
                      <w:insideH w:val="nil"/>
                      <w:insideV w:val="nil"/>
                    </w:tblBorders>
                  </w:tblPr>
                  <w:tr>
                    <w:trPr>
                      <w:tblHeader/>
                    </w:trPr>
                    <w:tc>
                      <w:tcPr>
                        <w:gridSpan w:val="3"/>
                        <w:tcMar>
                          <w:top w:w="0" w:type="dxa"/>
                          <w:left w:w="0" w:type="dxa"/>
                          <w:bottom w:w="60" w:type="dxa"/>
                          <w:right w:w="0" w:type="dxa"/>
                        </w:tcMar>
                        <w:vAlign w:val="center"/>
                      </w:tcPr>
                      <w:p>
                        <w:pPr>
                          <w:keepNext/>
                          <w:keepLines/>
                          <w:spacing w:before="0" w:after="60" w:lineRule="atLeast" w:line="240"/>
                          <w:ind w:hanging="0"/>
                          <w:jc w:val="center"/>
                          <w:rPr>
                            <w:rFonts w:ascii="arial" w:eastAsia="arial" w:hAnsi="arial" w:cs="arial"/>
                            <w:b/>
                            <w:bCs/>
                            <w:i w:val="false"/>
                            <w:color w:val="333333"/>
                            <w:sz w:val="18"/>
                            <w:szCs w:val="18"/>
                          </w:rPr>
                        </w:pPr>
                        <w:r>
                          <w:rPr>
                            <w:rFonts w:ascii="arial" w:eastAsia="arial" w:hAnsi="arial" w:cs="arial"/>
                            <w:b/>
                            <w:bCs/>
                            <w:i w:val="false"/>
                            <w:color w:val="333333"/>
                            <w:sz w:val="18"/>
                            <w:szCs w:val="18"/>
                          </w:rPr>
                          <w:t>Barriers to Entry Checklist</w:t>
                        </w:r>
                      </w:p>
                    </w:tc>
                  </w:tr>
                  <w:tr>
                    <w:tc>
                      <w:tcPr>
                        <w:tcW w:w="3000" w:type="pct"/>
                        <w:tcBorders>
                          <w:top w:val="single" w:sz="3" w:color="D07368"/>
                          <w:bottom w:val="single" w:sz="6" w:color="CCCCCC"/>
                        </w:tcBorders>
                        <w:tcMar>
                          <w:top w:w="60" w:type="dxa"/>
                          <w:left w:w="0" w:type="dxa"/>
                          <w:bottom w:w="60" w:type="dxa"/>
                          <w:right w:w="0" w:type="dxa"/>
                        </w:tcMar>
                        <w:vAlign w:val="center"/>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8"/>
                            <w:szCs w:val="18"/>
                          </w:rPr>
                          <w:t>Competition</w:t>
                        </w:r>
                      </w:p>
                    </w:tc>
                    <w:tc>
                      <w:tcPr>
                        <w:tcW w:w="500" w:type="pct"/>
                        <w:tcBorders>
                          <w:top w:val="single" w:sz="3" w:color="D07368"/>
                          <w:bottom w:val="single" w:sz="6" w:color="CCCCCC"/>
                        </w:tcBorders>
                        <w:tcMar>
                          <w:top w:w="60" w:type="dxa"/>
                          <w:left w:w="0" w:type="dxa"/>
                          <w:bottom w:w="60" w:type="dxa"/>
                          <w:right w:w="60" w:type="dxa"/>
                        </w:tcMar>
                        <w:vAlign w:val="center"/>
                      </w:tcPr>
                      <w:p>
                        <w:pPr>
                          <w:keepNext/>
                          <w:keepLines/>
                          <w:spacing w:before="0" w:after="0" w:lineRule="atLeast" w:line="225"/>
                          <w:ind w:right="0" w:hanging="0"/>
                          <w:jc w:val="right"/>
                          <w:rPr>
                            <w:rFonts w:ascii="arial" w:eastAsia="arial" w:hAnsi="arial" w:cs="arial"/>
                            <w:b w:val="false"/>
                            <w:bCs w:val="false"/>
                            <w:i w:val="false"/>
                            <w:sz w:val="16"/>
                            <w:szCs w:val="16"/>
                          </w:rPr>
                        </w:pPr>
                        <w:r>
                          <w:rPr>
                            <w:rFonts w:ascii="arial" w:eastAsia="arial" w:hAnsi="arial" w:cs="arial"/>
                            <w:b w:val="false"/>
                            <w:bCs w:val="false"/>
                            <w:i w:val="false"/>
                            <w:color w:val="DB1F2C"/>
                            <w:sz w:val="18"/>
                            <w:szCs w:val="18"/>
                          </w:rPr>
                          <w:t>High</w:t>
                        </w:r>
                      </w:p>
                    </w:tc>
                    <w:tc>
                      <w:tcPr>
                        <w:tcW w:w="250" w:type="pct"/>
                        <w:tcBorders>
                          <w:top w:val="single" w:sz="3" w:color="D07368"/>
                          <w:bottom w:val="single" w:sz="6" w:color="CCCCCC"/>
                        </w:tcBorders>
                        <w:tcMar>
                          <w:top w:w="60" w:type="dxa"/>
                          <w:left w:w="0" w:type="dxa"/>
                          <w:bottom w:w="60" w:type="dxa"/>
                          <w:right w:w="0" w:type="dxa"/>
                        </w:tcMar>
                        <w:vAlign w:val="center"/>
                      </w:tcPr>
                      <w:p>
                        <w:pPr>
                          <w:keepNext/>
                          <w:keepLines/>
                          <w:spacing w:before="0" w:after="90" w:lineRule="atLeast" w:line="225"/>
                          <w:ind w:left="0" w:right="0" w:hanging="0"/>
                          <w:jc w:val="left"/>
                          <w:rPr>
                            <w:rFonts w:ascii="arial" w:eastAsia="arial" w:hAnsi="arial" w:cs="arial"/>
                            <w:b w:val="false"/>
                            <w:bCs w:val="false"/>
                            <w:i w:val="false"/>
                            <w:sz w:val="16"/>
                            <w:szCs w:val="16"/>
                          </w:rPr>
                        </w:pPr>
                        <w:r>
                          <w:drawing>
                            <wp:inline>
                              <wp:extent cx="91440" cy="91440"/>
                              <wp:docPr id="117" name="Picture 117" descr="Bad"/>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PictureId54"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8"/>
                            <w:szCs w:val="18"/>
                          </w:rPr>
                          <w:t xml:space="preserve"> </w:t>
                        </w:r>
                      </w:p>
                    </w:tc>
                  </w:tr>
                  <w:tr>
                    <w:tc>
                      <w:tcPr>
                        <w:tcW w:w="3000" w:type="pct"/>
                        <w:tcBorders>
                          <w:bottom w:val="single" w:sz="6" w:color="CCCCCC"/>
                        </w:tcBorders>
                        <w:tcMar>
                          <w:top w:w="60" w:type="dxa"/>
                          <w:left w:w="0" w:type="dxa"/>
                          <w:bottom w:w="60" w:type="dxa"/>
                          <w:right w:w="0" w:type="dxa"/>
                        </w:tcMar>
                        <w:vAlign w:val="center"/>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8"/>
                            <w:szCs w:val="18"/>
                          </w:rPr>
                          <w:t>Concentration</w:t>
                        </w:r>
                      </w:p>
                    </w:tc>
                    <w:tc>
                      <w:tcPr>
                        <w:tcW w:w="500" w:type="pct"/>
                        <w:tcBorders>
                          <w:bottom w:val="single" w:sz="6" w:color="CCCCCC"/>
                        </w:tcBorders>
                        <w:tcMar>
                          <w:top w:w="60" w:type="dxa"/>
                          <w:left w:w="0" w:type="dxa"/>
                          <w:bottom w:w="60" w:type="dxa"/>
                          <w:right w:w="60" w:type="dxa"/>
                        </w:tcMar>
                        <w:vAlign w:val="center"/>
                      </w:tcPr>
                      <w:p>
                        <w:pPr>
                          <w:keepNext/>
                          <w:keepLines/>
                          <w:spacing w:before="0" w:after="0" w:lineRule="atLeast" w:line="225"/>
                          <w:ind w:right="0" w:hanging="0"/>
                          <w:jc w:val="right"/>
                          <w:rPr>
                            <w:rFonts w:ascii="arial" w:eastAsia="arial" w:hAnsi="arial" w:cs="arial"/>
                            <w:b w:val="false"/>
                            <w:bCs w:val="false"/>
                            <w:i w:val="false"/>
                            <w:sz w:val="16"/>
                            <w:szCs w:val="16"/>
                          </w:rPr>
                        </w:pPr>
                        <w:r>
                          <w:rPr>
                            <w:rFonts w:ascii="arial" w:eastAsia="arial" w:hAnsi="arial" w:cs="arial"/>
                            <w:b w:val="false"/>
                            <w:bCs w:val="false"/>
                            <w:i w:val="false"/>
                            <w:color w:val="086D06"/>
                            <w:sz w:val="18"/>
                            <w:szCs w:val="18"/>
                          </w:rPr>
                          <w:t>Low</w:t>
                        </w:r>
                      </w:p>
                    </w:tc>
                    <w:tc>
                      <w:tcPr>
                        <w:tcW w:w="250" w:type="pct"/>
                        <w:tcBorders>
                          <w:bottom w:val="single" w:sz="6" w:color="CCCCCC"/>
                        </w:tcBorders>
                        <w:tcMar>
                          <w:top w:w="60" w:type="dxa"/>
                          <w:left w:w="0" w:type="dxa"/>
                          <w:bottom w:w="60" w:type="dxa"/>
                          <w:right w:w="0" w:type="dxa"/>
                        </w:tcMar>
                        <w:vAlign w:val="center"/>
                      </w:tcPr>
                      <w:p>
                        <w:pPr>
                          <w:keepNext/>
                          <w:keepLines/>
                          <w:spacing w:before="0" w:after="90" w:lineRule="atLeast" w:line="225"/>
                          <w:ind w:left="0" w:right="0" w:hanging="0"/>
                          <w:jc w:val="left"/>
                          <w:rPr>
                            <w:rFonts w:ascii="arial" w:eastAsia="arial" w:hAnsi="arial" w:cs="arial"/>
                            <w:b w:val="false"/>
                            <w:bCs w:val="false"/>
                            <w:i w:val="false"/>
                            <w:sz w:val="16"/>
                            <w:szCs w:val="16"/>
                          </w:rPr>
                        </w:pPr>
                        <w:r>
                          <w:drawing>
                            <wp:inline>
                              <wp:extent cx="91440" cy="91440"/>
                              <wp:docPr id="119" name="Picture 119" descr="Good"/>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PictureId39"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8"/>
                            <w:szCs w:val="18"/>
                          </w:rPr>
                          <w:t xml:space="preserve"> </w:t>
                        </w:r>
                      </w:p>
                    </w:tc>
                  </w:tr>
                  <w:tr>
                    <w:tc>
                      <w:tcPr>
                        <w:tcW w:w="3000" w:type="pct"/>
                        <w:tcBorders>
                          <w:bottom w:val="single" w:sz="6" w:color="CCCCCC"/>
                        </w:tcBorders>
                        <w:tcMar>
                          <w:top w:w="60" w:type="dxa"/>
                          <w:left w:w="0" w:type="dxa"/>
                          <w:bottom w:w="60" w:type="dxa"/>
                          <w:right w:w="0" w:type="dxa"/>
                        </w:tcMar>
                        <w:vAlign w:val="center"/>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8"/>
                            <w:szCs w:val="18"/>
                          </w:rPr>
                          <w:t>Life Cycle Stage</w:t>
                        </w:r>
                      </w:p>
                    </w:tc>
                    <w:tc>
                      <w:tcPr>
                        <w:tcW w:w="500" w:type="pct"/>
                        <w:tcBorders>
                          <w:bottom w:val="single" w:sz="6" w:color="CCCCCC"/>
                        </w:tcBorders>
                        <w:tcMar>
                          <w:top w:w="60" w:type="dxa"/>
                          <w:left w:w="0" w:type="dxa"/>
                          <w:bottom w:w="60" w:type="dxa"/>
                          <w:right w:w="60" w:type="dxa"/>
                        </w:tcMar>
                        <w:vAlign w:val="center"/>
                      </w:tcPr>
                      <w:p>
                        <w:pPr>
                          <w:keepNext/>
                          <w:keepLines/>
                          <w:spacing w:before="0" w:after="0" w:lineRule="atLeast" w:line="225"/>
                          <w:ind w:right="0" w:hanging="0"/>
                          <w:jc w:val="right"/>
                          <w:rPr>
                            <w:rFonts w:ascii="arial" w:eastAsia="arial" w:hAnsi="arial" w:cs="arial"/>
                            <w:b w:val="false"/>
                            <w:bCs w:val="false"/>
                            <w:i w:val="false"/>
                            <w:sz w:val="16"/>
                            <w:szCs w:val="16"/>
                          </w:rPr>
                        </w:pPr>
                        <w:r>
                          <w:rPr>
                            <w:rFonts w:ascii="arial" w:eastAsia="arial" w:hAnsi="arial" w:cs="arial"/>
                            <w:b w:val="false"/>
                            <w:bCs w:val="false"/>
                            <w:i w:val="false"/>
                            <w:color w:val="F58232"/>
                            <w:sz w:val="18"/>
                            <w:szCs w:val="18"/>
                          </w:rPr>
                          <w:t>Mature</w:t>
                        </w:r>
                      </w:p>
                    </w:tc>
                    <w:tc>
                      <w:tcPr>
                        <w:tcW w:w="250" w:type="pct"/>
                        <w:tcBorders>
                          <w:bottom w:val="single" w:sz="6" w:color="CCCCCC"/>
                        </w:tcBorders>
                        <w:tcMar>
                          <w:top w:w="60" w:type="dxa"/>
                          <w:left w:w="0" w:type="dxa"/>
                          <w:bottom w:w="60" w:type="dxa"/>
                          <w:right w:w="0" w:type="dxa"/>
                        </w:tcMar>
                        <w:vAlign w:val="center"/>
                      </w:tcPr>
                      <w:p>
                        <w:pPr>
                          <w:keepNext/>
                          <w:keepLines/>
                          <w:spacing w:before="0" w:after="90" w:lineRule="atLeast" w:line="225"/>
                          <w:ind w:left="0" w:right="0" w:hanging="0"/>
                          <w:jc w:val="left"/>
                          <w:rPr>
                            <w:rFonts w:ascii="arial" w:eastAsia="arial" w:hAnsi="arial" w:cs="arial"/>
                            <w:b w:val="false"/>
                            <w:bCs w:val="false"/>
                            <w:i w:val="false"/>
                            <w:sz w:val="16"/>
                            <w:szCs w:val="16"/>
                          </w:rPr>
                        </w:pPr>
                        <w:r>
                          <w:drawing>
                            <wp:inline>
                              <wp:extent cx="91440" cy="91440"/>
                              <wp:docPr id="121" name="Picture 121" descr="Neutral"/>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PictureId55"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8"/>
                            <w:szCs w:val="18"/>
                          </w:rPr>
                          <w:t xml:space="preserve"> </w:t>
                        </w:r>
                      </w:p>
                    </w:tc>
                  </w:tr>
                  <w:tr>
                    <w:tc>
                      <w:tcPr>
                        <w:tcW w:w="3000" w:type="pct"/>
                        <w:tcBorders>
                          <w:bottom w:val="single" w:sz="6" w:color="CCCCCC"/>
                        </w:tcBorders>
                        <w:tcMar>
                          <w:top w:w="60" w:type="dxa"/>
                          <w:left w:w="0" w:type="dxa"/>
                          <w:bottom w:w="60" w:type="dxa"/>
                          <w:right w:w="0" w:type="dxa"/>
                        </w:tcMar>
                        <w:vAlign w:val="center"/>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8"/>
                            <w:szCs w:val="18"/>
                          </w:rPr>
                          <w:t>Technology Change</w:t>
                        </w:r>
                      </w:p>
                    </w:tc>
                    <w:tc>
                      <w:tcPr>
                        <w:tcW w:w="500" w:type="pct"/>
                        <w:tcBorders>
                          <w:bottom w:val="single" w:sz="6" w:color="CCCCCC"/>
                        </w:tcBorders>
                        <w:tcMar>
                          <w:top w:w="60" w:type="dxa"/>
                          <w:left w:w="0" w:type="dxa"/>
                          <w:bottom w:w="60" w:type="dxa"/>
                          <w:right w:w="60" w:type="dxa"/>
                        </w:tcMar>
                        <w:vAlign w:val="center"/>
                      </w:tcPr>
                      <w:p>
                        <w:pPr>
                          <w:keepNext/>
                          <w:keepLines/>
                          <w:spacing w:before="0" w:after="0" w:lineRule="atLeast" w:line="225"/>
                          <w:ind w:right="0" w:hanging="0"/>
                          <w:jc w:val="right"/>
                          <w:rPr>
                            <w:rFonts w:ascii="arial" w:eastAsia="arial" w:hAnsi="arial" w:cs="arial"/>
                            <w:b w:val="false"/>
                            <w:bCs w:val="false"/>
                            <w:i w:val="false"/>
                            <w:sz w:val="16"/>
                            <w:szCs w:val="16"/>
                          </w:rPr>
                        </w:pPr>
                        <w:r>
                          <w:rPr>
                            <w:rFonts w:ascii="arial" w:eastAsia="arial" w:hAnsi="arial" w:cs="arial"/>
                            <w:b w:val="false"/>
                            <w:bCs w:val="false"/>
                            <w:i w:val="false"/>
                            <w:color w:val="F58232"/>
                            <w:sz w:val="18"/>
                            <w:szCs w:val="18"/>
                          </w:rPr>
                          <w:t>Medium</w:t>
                        </w:r>
                      </w:p>
                    </w:tc>
                    <w:tc>
                      <w:tcPr>
                        <w:tcW w:w="250" w:type="pct"/>
                        <w:tcBorders>
                          <w:bottom w:val="single" w:sz="6" w:color="CCCCCC"/>
                        </w:tcBorders>
                        <w:tcMar>
                          <w:top w:w="60" w:type="dxa"/>
                          <w:left w:w="0" w:type="dxa"/>
                          <w:bottom w:w="60" w:type="dxa"/>
                          <w:right w:w="0" w:type="dxa"/>
                        </w:tcMar>
                        <w:vAlign w:val="center"/>
                      </w:tcPr>
                      <w:p>
                        <w:pPr>
                          <w:keepNext/>
                          <w:keepLines/>
                          <w:spacing w:before="0" w:after="90" w:lineRule="atLeast" w:line="225"/>
                          <w:ind w:left="0" w:right="0" w:hanging="0"/>
                          <w:jc w:val="left"/>
                          <w:rPr>
                            <w:rFonts w:ascii="arial" w:eastAsia="arial" w:hAnsi="arial" w:cs="arial"/>
                            <w:b w:val="false"/>
                            <w:bCs w:val="false"/>
                            <w:i w:val="false"/>
                            <w:sz w:val="16"/>
                            <w:szCs w:val="16"/>
                          </w:rPr>
                        </w:pPr>
                        <w:r>
                          <w:drawing>
                            <wp:inline>
                              <wp:extent cx="91440" cy="91440"/>
                              <wp:docPr id="123" name="Picture 123" descr="Neutral"/>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PictureId55"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8"/>
                            <w:szCs w:val="18"/>
                          </w:rPr>
                          <w:t xml:space="preserve"> </w:t>
                        </w:r>
                      </w:p>
                    </w:tc>
                  </w:tr>
                  <w:tr>
                    <w:tc>
                      <w:tcPr>
                        <w:tcW w:w="3000" w:type="pct"/>
                        <w:tcBorders>
                          <w:bottom w:val="single" w:sz="6" w:color="CCCCCC"/>
                        </w:tcBorders>
                        <w:tcMar>
                          <w:top w:w="60" w:type="dxa"/>
                          <w:left w:w="0" w:type="dxa"/>
                          <w:bottom w:w="60" w:type="dxa"/>
                          <w:right w:w="0" w:type="dxa"/>
                        </w:tcMar>
                        <w:vAlign w:val="center"/>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8"/>
                            <w:szCs w:val="18"/>
                          </w:rPr>
                          <w:t>Regulation &amp; Policy</w:t>
                        </w:r>
                      </w:p>
                    </w:tc>
                    <w:tc>
                      <w:tcPr>
                        <w:tcW w:w="500" w:type="pct"/>
                        <w:tcBorders>
                          <w:bottom w:val="single" w:sz="6" w:color="CCCCCC"/>
                        </w:tcBorders>
                        <w:tcMar>
                          <w:top w:w="60" w:type="dxa"/>
                          <w:left w:w="0" w:type="dxa"/>
                          <w:bottom w:w="60" w:type="dxa"/>
                          <w:right w:w="60" w:type="dxa"/>
                        </w:tcMar>
                        <w:vAlign w:val="center"/>
                      </w:tcPr>
                      <w:p>
                        <w:pPr>
                          <w:keepNext/>
                          <w:keepLines/>
                          <w:spacing w:before="0" w:after="0" w:lineRule="atLeast" w:line="225"/>
                          <w:ind w:right="0" w:hanging="0"/>
                          <w:jc w:val="right"/>
                          <w:rPr>
                            <w:rFonts w:ascii="arial" w:eastAsia="arial" w:hAnsi="arial" w:cs="arial"/>
                            <w:b w:val="false"/>
                            <w:bCs w:val="false"/>
                            <w:i w:val="false"/>
                            <w:sz w:val="16"/>
                            <w:szCs w:val="16"/>
                          </w:rPr>
                        </w:pPr>
                        <w:r>
                          <w:rPr>
                            <w:rFonts w:ascii="arial" w:eastAsia="arial" w:hAnsi="arial" w:cs="arial"/>
                            <w:b w:val="false"/>
                            <w:bCs w:val="false"/>
                            <w:i w:val="false"/>
                            <w:color w:val="F58232"/>
                            <w:sz w:val="18"/>
                            <w:szCs w:val="18"/>
                          </w:rPr>
                          <w:t>Medium</w:t>
                        </w:r>
                      </w:p>
                    </w:tc>
                    <w:tc>
                      <w:tcPr>
                        <w:tcW w:w="250" w:type="pct"/>
                        <w:tcBorders>
                          <w:bottom w:val="single" w:sz="6" w:color="CCCCCC"/>
                        </w:tcBorders>
                        <w:tcMar>
                          <w:top w:w="60" w:type="dxa"/>
                          <w:left w:w="0" w:type="dxa"/>
                          <w:bottom w:w="60" w:type="dxa"/>
                          <w:right w:w="0" w:type="dxa"/>
                        </w:tcMar>
                        <w:vAlign w:val="center"/>
                      </w:tcPr>
                      <w:p>
                        <w:pPr>
                          <w:keepNext/>
                          <w:keepLines/>
                          <w:spacing w:before="0" w:after="90" w:lineRule="atLeast" w:line="225"/>
                          <w:ind w:left="0" w:right="0" w:hanging="0"/>
                          <w:jc w:val="left"/>
                          <w:rPr>
                            <w:rFonts w:ascii="arial" w:eastAsia="arial" w:hAnsi="arial" w:cs="arial"/>
                            <w:b w:val="false"/>
                            <w:bCs w:val="false"/>
                            <w:i w:val="false"/>
                            <w:sz w:val="16"/>
                            <w:szCs w:val="16"/>
                          </w:rPr>
                        </w:pPr>
                        <w:r>
                          <w:drawing>
                            <wp:inline>
                              <wp:extent cx="91440" cy="91440"/>
                              <wp:docPr id="125" name="Picture 125" descr="Neutral"/>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PictureId55"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8"/>
                            <w:szCs w:val="18"/>
                          </w:rPr>
                          <w:t xml:space="preserve"> </w:t>
                        </w:r>
                      </w:p>
                    </w:tc>
                  </w:tr>
                  <w:tr>
                    <w:tc>
                      <w:tcPr>
                        <w:tcW w:w="3000" w:type="pct"/>
                        <w:tcBorders>
                          <w:bottom w:val="single" w:sz="6" w:color="CCCCCC"/>
                        </w:tcBorders>
                        <w:tcMar>
                          <w:top w:w="60" w:type="dxa"/>
                          <w:left w:w="0" w:type="dxa"/>
                          <w:bottom w:w="60" w:type="dxa"/>
                          <w:right w:w="0" w:type="dxa"/>
                        </w:tcMar>
                        <w:vAlign w:val="center"/>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8"/>
                            <w:szCs w:val="18"/>
                          </w:rPr>
                          <w:t>Industry Assistance</w:t>
                        </w:r>
                      </w:p>
                    </w:tc>
                    <w:tc>
                      <w:tcPr>
                        <w:tcW w:w="500" w:type="pct"/>
                        <w:tcBorders>
                          <w:bottom w:val="single" w:sz="6" w:color="CCCCCC"/>
                        </w:tcBorders>
                        <w:tcMar>
                          <w:top w:w="60" w:type="dxa"/>
                          <w:left w:w="0" w:type="dxa"/>
                          <w:bottom w:w="60" w:type="dxa"/>
                          <w:right w:w="60" w:type="dxa"/>
                        </w:tcMar>
                        <w:vAlign w:val="center"/>
                      </w:tcPr>
                      <w:p>
                        <w:pPr>
                          <w:keepNext/>
                          <w:keepLines/>
                          <w:spacing w:before="0" w:after="0" w:lineRule="atLeast" w:line="225"/>
                          <w:ind w:right="0" w:hanging="0"/>
                          <w:jc w:val="right"/>
                          <w:rPr>
                            <w:rFonts w:ascii="arial" w:eastAsia="arial" w:hAnsi="arial" w:cs="arial"/>
                            <w:b w:val="false"/>
                            <w:bCs w:val="false"/>
                            <w:i w:val="false"/>
                            <w:sz w:val="16"/>
                            <w:szCs w:val="16"/>
                          </w:rPr>
                        </w:pPr>
                        <w:r>
                          <w:rPr>
                            <w:rFonts w:ascii="arial" w:eastAsia="arial" w:hAnsi="arial" w:cs="arial"/>
                            <w:b w:val="false"/>
                            <w:bCs w:val="false"/>
                            <w:i w:val="false"/>
                            <w:color w:val="DB1F2C"/>
                            <w:sz w:val="18"/>
                            <w:szCs w:val="18"/>
                          </w:rPr>
                          <w:t>Low</w:t>
                        </w:r>
                      </w:p>
                    </w:tc>
                    <w:tc>
                      <w:tcPr>
                        <w:tcW w:w="250" w:type="pct"/>
                        <w:tcBorders>
                          <w:bottom w:val="single" w:sz="6" w:color="CCCCCC"/>
                        </w:tcBorders>
                        <w:tcMar>
                          <w:top w:w="60" w:type="dxa"/>
                          <w:left w:w="0" w:type="dxa"/>
                          <w:bottom w:w="60" w:type="dxa"/>
                          <w:right w:w="0" w:type="dxa"/>
                        </w:tcMar>
                        <w:vAlign w:val="center"/>
                      </w:tcPr>
                      <w:p>
                        <w:pPr>
                          <w:keepNext/>
                          <w:keepLines/>
                          <w:spacing w:before="0" w:after="90" w:lineRule="atLeast" w:line="225"/>
                          <w:ind w:left="0" w:right="0" w:hanging="0"/>
                          <w:jc w:val="left"/>
                          <w:rPr>
                            <w:rFonts w:ascii="arial" w:eastAsia="arial" w:hAnsi="arial" w:cs="arial"/>
                            <w:b w:val="false"/>
                            <w:bCs w:val="false"/>
                            <w:i w:val="false"/>
                            <w:sz w:val="16"/>
                            <w:szCs w:val="16"/>
                          </w:rPr>
                        </w:pPr>
                        <w:r>
                          <w:drawing>
                            <wp:inline>
                              <wp:extent cx="91440" cy="91440"/>
                              <wp:docPr id="127" name="Picture 127" descr="Bad"/>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PictureId54"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8"/>
                            <w:szCs w:val="18"/>
                          </w:rPr>
                          <w:t xml:space="preserve"> </w:t>
                        </w:r>
                      </w:p>
                    </w:tc>
                  </w:tr>
                </w:tbl>
                <w:p>
                  <w:pPr/>
                </w:p>
              </w:tc>
            </w:tr>
          </w:tbl>
          <w:p>
            <w:pP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25" w:name="_Toc26"/>
            <w:r>
              <w:rPr>
                <w:rFonts w:ascii="arial" w:eastAsia="arial" w:hAnsi="arial" w:cs="arial"/>
                <w:b/>
                <w:bCs/>
                <w:i w:val="false"/>
                <w:color w:val="333333"/>
                <w:spacing w:val="4"/>
                <w:sz w:val="21"/>
                <w:szCs w:val="21"/>
              </w:rPr>
              <w:t>Industry Globalization</w:t>
            </w:r>
            <w:bookmarkEnd w:id="25"/>
          </w:p>
        </w:tc>
        <w:tc>
          <w:tcPr>
            <w:tcW w:w="4000" w:type="pct"/>
            <w:vAlign w:val="top"/>
          </w:tcPr>
          <w:p>
            <w:pPr>
              <w:keepNext/>
              <w:keepLines/>
              <w:spacing w:before="0" w:after="12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 xml:space="preserve">Globalization in this industry is </w:t>
            </w:r>
            <w:r>
              <w:rPr>
                <w:rFonts w:ascii="arial" w:eastAsia="arial" w:hAnsi="arial" w:cs="arial"/>
                <w:b w:val="false"/>
                <w:bCs w:val="false"/>
                <w:i w:val="false"/>
                <w:sz w:val="16"/>
                <w:szCs w:val="16"/>
              </w:rPr>
              <w:t xml:space="preserve"> </w:t>
            </w:r>
            <w:r>
              <w:drawing>
                <wp:inline>
                  <wp:extent cx="91440" cy="91440"/>
                  <wp:docPr id="129" name="Picture 129" descr="Good"/>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PictureId39"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6"/>
                <w:szCs w:val="16"/>
              </w:rPr>
              <w:t xml:space="preserve">  </w:t>
            </w:r>
            <w:r>
              <w:rPr>
                <w:rFonts w:ascii="arial" w:eastAsia="arial" w:hAnsi="arial" w:cs="arial"/>
                <w:b/>
                <w:bCs/>
                <w:i w:val="false"/>
                <w:color w:val="086D06"/>
                <w:sz w:val="18"/>
                <w:szCs w:val="18"/>
              </w:rPr>
              <w:t xml:space="preserve">Low </w:t>
            </w:r>
            <w:r>
              <w:rPr>
                <w:rFonts w:ascii="arial" w:eastAsia="arial" w:hAnsi="arial" w:cs="arial"/>
                <w:b/>
                <w:bCs/>
                <w:i w:val="false"/>
                <w:sz w:val="18"/>
                <w:szCs w:val="18"/>
              </w:rPr>
              <w:t>and the trend is Increasing</w:t>
            </w:r>
          </w:p>
        </w:tc>
      </w:tr>
      <w:t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The Men's Clothing Stores industry is predominantly domestic and few players operate internationally. Imports, however, play a large part in this industry, as many operators source their goods from low-labor-cost countries, such as China. While international trade balances are recorded at the manufacturing level rather than the retail level, the infiltration of imports is significant to this industry's costs and revenue.</w:t>
            </w:r>
          </w:p>
          <w:p>
            <w:pPr>
              <w:keepNext/>
              <w:keepLines/>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The industry is further globalized through international operations of major players. For example, major player Tailored Brands Inc. operates internationally through its Moore's stores, which are located in Canada. Furthermore, Destination XL Group has Casual Male retail and direct business operations in England and Kuwait and ship to over 200 countries through their e-commerce website. Globalization is anticipated to rise over the five years to 2025 as more luxury brands from countries such as Italy launch men's-only clothing stores in the United States.</w:t>
            </w:r>
          </w:p>
        </w:tc>
      </w:tr>
    </w:tbl>
    <w:p>
      <w:pPr>
        <w:sectPr>
          <w:headerReference w:type="default" r:id="gemHfRid74"/>
          <w:footerReference w:type="default" r:id="gemHfRid75"/>
          <w:pgSz w:w="11907" w:h="16839" w:code="9"/>
          <w:pgMar w:top="640" w:right="640" w:bottom="640" w:left="640" w:header="0" w:footer="0" w:gutter="0"/>
          <w:cols w:space="708"/>
          <w:docGrid w:linePitch="360"/>
        </w:sectPr>
      </w:pPr>
    </w:p>
    <w:p>
      <w:pPr>
        <w:pStyle w:val="heading 1"/>
        <w:spacing w:before="0" w:after="240" w:lineRule="atLeast" w:line="420"/>
        <w:ind w:left="0" w:right="0" w:hanging="0"/>
        <w:jc w:val="left"/>
        <w:rPr>
          <w:rFonts w:ascii="arial" w:eastAsia="arial" w:hAnsi="arial" w:cs="arial"/>
          <w:b w:val="false"/>
          <w:bCs w:val="false"/>
          <w:i w:val="false"/>
          <w:color w:val="333333"/>
          <w:sz w:val="36"/>
          <w:szCs w:val="36"/>
        </w:rPr>
      </w:pPr>
      <w:bookmarkStart w:id="26" w:name="_Toc27"/>
      <w:r>
        <w:rPr>
          <w:rFonts w:ascii="arial" w:eastAsia="arial" w:hAnsi="arial" w:cs="arial"/>
          <w:b w:val="false"/>
          <w:bCs w:val="false"/>
          <w:i w:val="false"/>
          <w:color w:val="333333"/>
          <w:sz w:val="36"/>
          <w:szCs w:val="36"/>
        </w:rPr>
        <w:t>Major Companies</w:t>
      </w:r>
      <w:bookmarkEnd w:id="26"/>
    </w:p>
    <w:tbl>
      <w:tblPr>
        <w:tblW w:w="5000" w:type="pct"/>
        <w:jc w:val="left"/>
        <w:tblBorders>
          <w:top w:val="nil"/>
          <w:left w:val="nil"/>
          <w:bottom w:val="nil"/>
          <w:right w:val="nil"/>
          <w:insideH w:val="nil"/>
          <w:insideV w:val="nil"/>
        </w:tblBorders>
      </w:tblPr>
      <w:tr>
        <w:tc>
          <w:tcPr>
            <w:tcW w:w="4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drawing>
                <wp:inline>
                  <wp:extent cx="6667500" cy="3367424"/>
                  <wp:docPr id="131" name="Picture 131"/>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PictureId56" cstate="print"/>
                          <a:stretch>
                            <a:fillRect/>
                          </a:stretch>
                        </pic:blipFill>
                        <pic:spPr>
                          <a:xfrm>
                            <a:off x="0" y="0"/>
                            <a:ext cx="6667500" cy="3367424"/>
                          </a:xfrm>
                          <a:prstGeom prst="rect">
                            <a:avLst/>
                          </a:prstGeom>
                        </pic:spPr>
                      </pic:pic>
                    </a:graphicData>
                  </a:graphic>
                </wp:inline>
              </w:drawing>
            </w:r>
          </w:p>
        </w:tc>
      </w:tr>
    </w:tbl>
    <w:p>
      <w:pPr>
        <w:spacing w:before="0" w:after="0"/>
        <w:rPr>
          <w:vanish/>
        </w:rPr>
      </w:pPr>
    </w:p>
    <w:tbl>
      <w:tblPr>
        <w:tblW w:w="5000" w:type="pct"/>
        <w:jc w:val="left"/>
        <w:tblBorders>
          <w:top w:val="nil"/>
          <w:left w:val="nil"/>
          <w:bottom w:val="nil"/>
          <w:right w:val="nil"/>
          <w:insideH w:val="nil"/>
          <w:insideV w:val="nil"/>
        </w:tblBorders>
      </w:tblP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27" w:name="_Toc28"/>
            <w:r>
              <w:rPr>
                <w:rFonts w:ascii="arial" w:eastAsia="arial" w:hAnsi="arial" w:cs="arial"/>
                <w:b/>
                <w:bCs/>
                <w:i w:val="false"/>
                <w:color w:val="333333"/>
                <w:spacing w:val="4"/>
                <w:sz w:val="21"/>
                <w:szCs w:val="21"/>
              </w:rPr>
              <w:t>Major Players</w:t>
            </w:r>
            <w:bookmarkEnd w:id="27"/>
          </w:p>
        </w:tc>
        <w:tc>
          <w:tcPr>
            <w:tcW w:w="4000" w:type="pct"/>
            <w:vAlign w:val="top"/>
          </w:tcPr>
          <w:p>
            <w:pPr>
              <w:pStyle w:val="heading 3"/>
              <w:keepNext/>
              <w:keepLines/>
              <w:spacing w:before="0" w:after="180" w:lineRule="atLeast" w:line="270"/>
              <w:ind w:left="0" w:right="0" w:hanging="0"/>
              <w:jc w:val="left"/>
              <w:rPr>
                <w:rFonts w:ascii="arial" w:eastAsia="arial" w:hAnsi="arial" w:cs="arial"/>
                <w:b/>
                <w:bCs/>
                <w:i w:val="false"/>
                <w:color w:val="000000"/>
                <w:sz w:val="18"/>
                <w:szCs w:val="18"/>
              </w:rPr>
            </w:pPr>
            <w:r>
              <w:rPr>
                <w:rFonts w:ascii="arial" w:eastAsia="arial" w:hAnsi="arial" w:cs="arial"/>
                <w:b/>
                <w:bCs/>
                <w:i w:val="false"/>
                <w:color w:val="000000"/>
                <w:sz w:val="18"/>
                <w:szCs w:val="18"/>
              </w:rPr>
              <w:t>Tailored Brands Inc.</w:t>
            </w:r>
            <w:r>
              <w:drawing>
                <wp:anchor distT="0" distB="0" distL="115200" distR="115200" simplePos="false" relativeHeight="251659264" behindDoc="false" locked="false" layoutInCell="true" allowOverlap="true">
                  <wp:simplePos x="0" y="0"/>
                  <wp:positionH relativeFrom="margin">
                    <wp:align>right</wp:align>
                  </wp:positionH>
                  <wp:positionV relativeFrom="paragraph">
                    <wp:posOffset>0</wp:posOffset>
                  </wp:positionV>
                  <wp:extent cx="2095500" cy="2095500"/>
                  <wp:wrapSquare wrapText="bothSides"/>
                  <wp:docPr id="133" name="Picture 133"/>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PictureId57" cstate="print"/>
                          <a:stretch>
                            <a:fillRect/>
                          </a:stretch>
                        </pic:blipFill>
                        <pic:spPr>
                          <a:xfrm>
                            <a:off x="0" y="0"/>
                            <a:ext cx="2095500" cy="2095500"/>
                          </a:xfrm>
                          <a:prstGeom prst="rect">
                            <a:avLst/>
                          </a:prstGeom>
                        </pic:spPr>
                      </pic:pic>
                    </a:graphicData>
                  </a:graphic>
                </wp:anchor>
              </w:drawing>
            </w:r>
          </w:p>
          <w:p>
            <w:pPr>
              <w:pStyle w:val="heading 3"/>
              <w:keepNext/>
              <w:keepLines/>
              <w:spacing w:before="0" w:after="180" w:lineRule="atLeast" w:line="270"/>
              <w:ind w:left="0" w:right="0" w:hanging="0"/>
              <w:jc w:val="left"/>
              <w:rPr>
                <w:rFonts w:ascii="arial" w:eastAsia="arial" w:hAnsi="arial" w:cs="arial"/>
                <w:b/>
                <w:bCs/>
                <w:i w:val="false"/>
                <w:color w:val="000000"/>
                <w:sz w:val="18"/>
                <w:szCs w:val="18"/>
              </w:rPr>
            </w:pPr>
            <w:r>
              <w:rPr>
                <w:rFonts w:ascii="arial" w:eastAsia="arial" w:hAnsi="arial" w:cs="arial"/>
                <w:b/>
                <w:bCs/>
                <w:i w:val="false"/>
                <w:color w:val="000000"/>
                <w:sz w:val="18"/>
                <w:szCs w:val="18"/>
              </w:rPr>
              <w:t>Market Share: 10.1%</w:t>
            </w:r>
          </w:p>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Brand Names Moore's, Men's Wearhouse, K&amp;G, Jos. A. Bank</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Tailored Brands Inc. (Tailored Brands) is a men's clothing and accessory retailer headquartered in Houston, employing an estimated 19,300 people globally. Originally founded as Men's Wearhouse Inc. in 1973, the company launched a new holding company on a one-for-one basis as Tailored Brands Inc. in January 2016. The company generates most of its revenue through more than 1,400 retail stores, the majority of which specialize in men's suit sales and tuxedo rentals. Other revenue is generated through the company's corporate apparel provider business. While US sales comprise the majority of company revenue, Tailored Brands also has operations in Canada. In fiscal 2020 (year-end February, latest data available), the company reported $2.9 billion in total sales.</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Through its several brands, including its formerly eponymous Men's Wearhouse brand, the company specializes in formal wear, such as suits and tuxedos, and targets middle and upper-middle class males. The company's strategy and brand are focused on customer service, quality merchandise and a well-stocked inventory of branded and designer apparel. Tailored Brands' Big &amp; Tall product line is particularly popular among large males that do not fit traditional retail sizes.</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Tailored Brands has acquired and created partnerships with several companies over the five years to fiscal 2021. It has also expanded its portfolio of luxury brands to boost profit. For instance, in June 2014, Tailored Brands acquired Jos. A. Bank Clothiers Inc. (Jos. A. Bank) for $1.8 billion; these stores now make up more than 35.0% of the company's total US establishments. Then, in 2015, Tailored Brands opened a flagship store for Joseph Abboud, an upscale US-based clothing brand that the company acquired in 2013 and launched an exclusive men's clothing line with Kenneth Cole. However, in August 2019, the company completed the sale of MWUK Limited, its UK corporate apparel operations, and completed the sale of Twin Hill Acquisition Company Inc., its US corporate apparel operations. The sale of these corporate apparel operations, both domestically and internationally, were done as part of a strategic shift. Additionally, in March 2020, the company closed on the previously announced transaction to sell Joseph Abboud trademarks to WHP Global for $115.0 million.</w:t>
            </w:r>
          </w:p>
          <w:p>
            <w:pPr>
              <w:keepNext/>
              <w:keepLines/>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Financial performance</w:t>
            </w:r>
          </w:p>
          <w:p>
            <w:pPr>
              <w:keepNext/>
              <w:keepLines/>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IBISWorld expects that Tailored Brands' industry-specific revenue will decline at an annualized rate of 17.3% over the five years to fiscal 2021, totaling $713.0 million. Store closures and subdued comparable store sales have led to declining revenue during the five-year period. Additionally, the company cited that the COVID-19 (coronavirus) pandemic has adversely affected operations in various ways, including falling store traffic, supply chain disruptions, temporary store closures and disruptions to employees working in stores, distribution centers and offices. Tailored Brands announced all retail stores were going to remain temporarily closed starting in mid-March and by the end of May the company announced they were going to begin open stores depending on specific legislation within the given state. On top of temporary stores closures, which mitigated in-store sales completely, demand for many industry products have fallen as the majority of corporate America transitioned to working from home. Therefore, demand for suits, formal wear and business casual products fell dramatically and the increase in demand for casual wear was not able to cover the loss.</w:t>
            </w: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rPr>
          <w:cantSplit/>
        </w:trP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keepNext/>
              <w:keepLines/>
              <w:shd w:val="clear" w:fill="FAFAFA"/>
              <w:spacing w:before="120" w:after="0" w:lineRule="atLeast" w:line="240"/>
              <w:ind w:hanging="0"/>
              <w:jc w:val="center"/>
              <w:rPr>
                <w:rFonts w:ascii="arial" w:eastAsia="arial" w:hAnsi="arial" w:cs="arial"/>
                <w:b/>
                <w:bCs/>
                <w:i w:val="false"/>
                <w:color w:val="333333"/>
                <w:spacing w:val="4"/>
                <w:sz w:val="18"/>
                <w:szCs w:val="18"/>
              </w:rPr>
            </w:pPr>
            <w:r>
              <w:rPr>
                <w:rFonts w:ascii="arial" w:eastAsia="arial" w:hAnsi="arial" w:cs="arial"/>
                <w:b/>
                <w:bCs/>
                <w:i w:val="false"/>
                <w:color w:val="333333"/>
                <w:spacing w:val="4"/>
                <w:sz w:val="18"/>
                <w:szCs w:val="18"/>
              </w:rPr>
              <w:t>Tailored Brands Inc. (US industry-specific segment) - financial performance*</w:t>
            </w:r>
          </w:p>
          <w:tbl>
            <w:tblPr>
              <w:tblW w:w="5000" w:type="pct"/>
              <w:jc w:val="left"/>
              <w:tblCellSpacing w:w="0" w:type="dxa"/>
              <w:tblBorders>
                <w:top w:val="nil"/>
                <w:left w:val="nil"/>
                <w:bottom w:val="nil"/>
                <w:right w:val="nil"/>
                <w:insideH w:val="nil"/>
                <w:insideV w:val="nil"/>
              </w:tblBorders>
              <w:shd w:val="clear" w:fill="FAFAFA"/>
            </w:tblPr>
            <w:tr>
              <w:trPr>
                <w:tblHeader/>
              </w:trPr>
              <w:tc>
                <w:tcPr>
                  <w:tcW w:w="1000" w:type="pct"/>
                  <w:shd w:val="clear" w:fill="FAFAFA"/>
                  <w:tcMar>
                    <w:top w:w="60" w:type="dxa"/>
                    <w:left w:w="0" w:type="dxa"/>
                    <w:bottom w:w="0" w:type="dxa"/>
                    <w:right w:w="0" w:type="dxa"/>
                  </w:tcMar>
                  <w:vAlign w:val="bottom"/>
                </w:tcPr>
                <w:p>
                  <w:pPr>
                    <w:keepNext/>
                    <w:keepLines/>
                    <w:shd w:val="clear" w:fill="FAFAFA"/>
                    <w:spacing w:before="6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Year** </w:t>
                  </w:r>
                </w:p>
              </w:tc>
              <w:tc>
                <w:tcPr>
                  <w:tcW w:w="1000" w:type="pct"/>
                  <w:shd w:val="clear" w:fill="FAFAFA"/>
                  <w:tcMar>
                    <w:top w:w="60" w:type="dxa"/>
                    <w:left w:w="0" w:type="dxa"/>
                    <w:bottom w:w="0" w:type="dxa"/>
                    <w:right w:w="0" w:type="dxa"/>
                  </w:tcMar>
                  <w:vAlign w:val="bottom"/>
                </w:tcPr>
                <w:p>
                  <w:pPr>
                    <w:keepNext/>
                    <w:keepLines/>
                    <w:shd w:val="clear" w:fill="FAFAFA"/>
                    <w:spacing w:before="6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Revenue </w:t>
                  </w:r>
                  <w:r>
                    <w:br/>
                  </w:r>
                  <w:r>
                    <w:rPr>
                      <w:rFonts w:ascii="arial" w:eastAsia="arial" w:hAnsi="arial" w:cs="arial"/>
                      <w:b/>
                      <w:bCs/>
                      <w:i w:val="false"/>
                      <w:sz w:val="15"/>
                      <w:szCs w:val="15"/>
                    </w:rPr>
                    <w:t>($m)</w:t>
                  </w:r>
                </w:p>
              </w:tc>
              <w:tc>
                <w:tcPr>
                  <w:tcW w:w="1000" w:type="pct"/>
                  <w:shd w:val="clear" w:fill="FAFAFA"/>
                  <w:tcMar>
                    <w:top w:w="60" w:type="dxa"/>
                    <w:left w:w="0" w:type="dxa"/>
                    <w:bottom w:w="0" w:type="dxa"/>
                    <w:right w:w="0" w:type="dxa"/>
                  </w:tcMar>
                  <w:vAlign w:val="bottom"/>
                </w:tcPr>
                <w:p>
                  <w:pPr>
                    <w:keepNext/>
                    <w:keepLines/>
                    <w:shd w:val="clear" w:fill="FAFAFA"/>
                    <w:spacing w:before="6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Growth </w:t>
                  </w:r>
                  <w:r>
                    <w:br/>
                  </w:r>
                  <w:r>
                    <w:rPr>
                      <w:rFonts w:ascii="arial" w:eastAsia="arial" w:hAnsi="arial" w:cs="arial"/>
                      <w:b/>
                      <w:bCs/>
                      <w:i w:val="false"/>
                      <w:sz w:val="15"/>
                      <w:szCs w:val="15"/>
                    </w:rPr>
                    <w:t>(% change)</w:t>
                  </w:r>
                </w:p>
              </w:tc>
              <w:tc>
                <w:tcPr>
                  <w:tcW w:w="1000" w:type="pct"/>
                  <w:shd w:val="clear" w:fill="FAFAFA"/>
                  <w:tcMar>
                    <w:top w:w="60" w:type="dxa"/>
                    <w:left w:w="0" w:type="dxa"/>
                    <w:bottom w:w="0" w:type="dxa"/>
                    <w:right w:w="0" w:type="dxa"/>
                  </w:tcMar>
                  <w:vAlign w:val="bottom"/>
                </w:tcPr>
                <w:p>
                  <w:pPr>
                    <w:keepNext/>
                    <w:keepLines/>
                    <w:shd w:val="clear" w:fill="FAFAFA"/>
                    <w:spacing w:before="6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Operating Income </w:t>
                  </w:r>
                  <w:r>
                    <w:br/>
                  </w:r>
                  <w:r>
                    <w:rPr>
                      <w:rFonts w:ascii="arial" w:eastAsia="arial" w:hAnsi="arial" w:cs="arial"/>
                      <w:b/>
                      <w:bCs/>
                      <w:i w:val="false"/>
                      <w:sz w:val="15"/>
                      <w:szCs w:val="15"/>
                    </w:rPr>
                    <w:t>($m)</w:t>
                  </w:r>
                </w:p>
              </w:tc>
              <w:tc>
                <w:tcPr>
                  <w:tcW w:w="1000" w:type="pct"/>
                  <w:shd w:val="clear" w:fill="FAFAFA"/>
                  <w:tcMar>
                    <w:top w:w="60" w:type="dxa"/>
                    <w:left w:w="0" w:type="dxa"/>
                    <w:bottom w:w="0" w:type="dxa"/>
                    <w:right w:w="0" w:type="dxa"/>
                  </w:tcMar>
                  <w:vAlign w:val="bottom"/>
                </w:tcPr>
                <w:p>
                  <w:pPr>
                    <w:keepNext/>
                    <w:keepLines/>
                    <w:shd w:val="clear" w:fill="FAFAFA"/>
                    <w:spacing w:before="6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Growth </w:t>
                  </w:r>
                  <w:r>
                    <w:br/>
                  </w:r>
                  <w:r>
                    <w:rPr>
                      <w:rFonts w:ascii="arial" w:eastAsia="arial" w:hAnsi="arial" w:cs="arial"/>
                      <w:b/>
                      <w:bCs/>
                      <w:i w:val="false"/>
                      <w:sz w:val="15"/>
                      <w:szCs w:val="15"/>
                    </w:rPr>
                    <w:t>(% change)</w:t>
                  </w:r>
                </w:p>
              </w:tc>
            </w:tr>
            <w:tr>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2015-16</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1,838.1</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-613.8</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2016-17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1,731.0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59.3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109.7</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2017-18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1,712.5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121.2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104.3</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2018-19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1,703.1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127.9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5.5</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2019-20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1,702.3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57.8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-54.8</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2020-21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713.0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-58.1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-515.6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-992.1</w:t>
                  </w:r>
                </w:p>
              </w:tc>
            </w:tr>
            <w:tr>
              <w:tc>
                <w:tcPr>
                  <w:gridSpan w:val="5"/>
                  <w:shd w:val="clear" w:fill="FFFFFF"/>
                  <w:tcMar>
                    <w:top w:w="15" w:type="dxa"/>
                    <w:left w:w="0" w:type="dxa"/>
                    <w:bottom w:w="15" w:type="dxa"/>
                    <w:right w:w="0" w:type="dxa"/>
                  </w:tcMar>
                  <w:vAlign w:val="center"/>
                </w:tcPr>
                <w:p>
                  <w:pPr>
                    <w:keepNext/>
                    <w:keepLines/>
                    <w:shd w:val="clear" w:fill="FFFFFF"/>
                    <w:spacing w:before="0" w:after="0" w:lineRule="atLeast" w:line="16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Source: Annual report and IBISWorld</w:t>
                  </w:r>
                </w:p>
              </w:tc>
            </w:tr>
            <w:tr>
              <w:tc>
                <w:tcPr>
                  <w:gridSpan w:val="5"/>
                  <w:shd w:val="clear" w:fill="FFFFFF"/>
                  <w:tcMar>
                    <w:top w:w="15" w:type="dxa"/>
                    <w:left w:w="0" w:type="dxa"/>
                    <w:bottom w:w="15" w:type="dxa"/>
                    <w:right w:w="0" w:type="dxa"/>
                  </w:tcMar>
                  <w:vAlign w:val="center"/>
                </w:tcPr>
                <w:p>
                  <w:pPr>
                    <w:keepNext/>
                    <w:keepLines/>
                    <w:shd w:val="clear" w:fill="FFFFFF"/>
                    <w:spacing w:before="0" w:after="0" w:lineRule="atLeast" w:line="16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Note: *Estimates; **Year-end February</w:t>
                  </w:r>
                </w:p>
              </w:tc>
            </w:tr>
          </w:tbl>
          <w:p>
            <w:pPr/>
          </w:p>
        </w:tc>
      </w:tr>
    </w:tbl>
    <w:p>
      <w:pPr>
        <w:spacing w:before="0" w:after="0"/>
        <w:rPr>
          <w:vanish/>
        </w:rPr>
      </w:pPr>
    </w:p>
    <w:tbl>
      <w:tblPr>
        <w:tblW w:w="5000" w:type="pct"/>
        <w:jc w:val="left"/>
        <w:tblBorders>
          <w:top w:val="nil"/>
          <w:left w:val="nil"/>
          <w:bottom w:val="nil"/>
          <w:right w:val="nil"/>
          <w:insideH w:val="nil"/>
          <w:insideV w:val="nil"/>
        </w:tblBorders>
      </w:tblP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r>
              <w:br/>
            </w:r>
          </w:p>
        </w:tc>
      </w:t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28" w:name="_Toc29"/>
            <w:r>
              <w:rPr>
                <w:rFonts w:ascii="arial" w:eastAsia="arial" w:hAnsi="arial" w:cs="arial"/>
                <w:b/>
                <w:bCs/>
                <w:i w:val="false"/>
                <w:color w:val="333333"/>
                <w:spacing w:val="4"/>
                <w:sz w:val="21"/>
                <w:szCs w:val="21"/>
              </w:rPr>
              <w:t>Other Companies</w:t>
            </w:r>
            <w:bookmarkEnd w:id="28"/>
          </w:p>
        </w:tc>
        <w:tc>
          <w:tcPr>
            <w:tcW w:w="4000" w:type="pct"/>
            <w:vAlign w:val="top"/>
          </w:tcPr>
          <w:p>
            <w:pPr>
              <w:pStyle w:val="heading 3"/>
              <w:keepNext/>
              <w:keepLines/>
              <w:spacing w:before="0" w:after="180" w:lineRule="atLeast" w:line="270"/>
              <w:ind w:left="0" w:right="0" w:hanging="0"/>
              <w:jc w:val="left"/>
              <w:rPr>
                <w:rFonts w:ascii="arial" w:eastAsia="arial" w:hAnsi="arial" w:cs="arial"/>
                <w:b/>
                <w:bCs/>
                <w:i w:val="false"/>
                <w:color w:val="000000"/>
                <w:sz w:val="18"/>
                <w:szCs w:val="18"/>
              </w:rPr>
            </w:pPr>
            <w:r>
              <w:rPr>
                <w:rFonts w:ascii="arial" w:eastAsia="arial" w:hAnsi="arial" w:cs="arial"/>
                <w:b/>
                <w:bCs/>
                <w:i w:val="false"/>
                <w:color w:val="000000"/>
                <w:sz w:val="18"/>
                <w:szCs w:val="18"/>
              </w:rPr>
              <w:t>Destination XL Group Inc.</w:t>
            </w:r>
          </w:p>
        </w:tc>
      </w:tr>
      <w:t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Market Share: 2.9%</w:t>
            </w:r>
          </w:p>
        </w:tc>
      </w:tr>
      <w:t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Destination XL Group Inc. (DXL) was incorporated in 1976 and is headquartered in Canton, MA. The company is a leading retailer of men's big-and-tall apparel and stocks branded and private-label suits and casual wear throughout its 228 locations across the United States and two stores in Canada. DXL also offers clothing across the rest of Canada through its online store. The company employs 2,353 associates throughout the year, and then hires extra temporary employees during peak seasons.</w:t>
            </w:r>
          </w:p>
          <w:p>
            <w:pPr>
              <w:keepNext/>
              <w:keepLines/>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DXL operates through several sales channels, including its variety of retail stores, as well as its direct business through its catalogs and e-commerce sites. Furthermore, in fiscal 2019 (year-end February), the company launched its own wholesale business unit that focuses on product development and distribution relationships. The company targets a diverse group of men as its target market, which is one of the main reasons for the varying store and website formats. For example, the company's Casual MaleXL store format caters to moderate price seeking customers. However, in fiscal 2020, more than 20.0% of DXL sales were generated through its e-commerce platform, which is not considered industry relevant. In fiscal 2021, IBISWorld estimates that DXL's industry-relevant revenue will total $203.8 million, a decline of 43.4% from the previous year. The store closures and supply chain disruptions caused by COVID-19 (coronavirus) are anticipated to have negative effects on DXL's industry-relevant revenue in 2020.</w:t>
            </w:r>
          </w:p>
        </w:tc>
      </w:tr>
      <w:tr>
        <w:tc>
          <w:tcPr>
            <w:tcW w:w="1000" w:type="pct"/>
            <w:vAlign w:val="top"/>
          </w:tcPr>
          <w:p>
            <w:pPr>
              <w:keepNext/>
              <w:keepLines/>
            </w:pPr>
          </w:p>
        </w:tc>
        <w:tc>
          <w:tcPr>
            <w:tcW w:w="4000" w:type="pct"/>
            <w:vAlign w:val="top"/>
          </w:tcPr>
          <w:p>
            <w:pPr>
              <w:pStyle w:val="heading 3"/>
              <w:keepNext/>
              <w:keepLines/>
              <w:spacing w:before="0" w:after="180" w:lineRule="atLeast" w:line="270"/>
              <w:ind w:left="0" w:right="0" w:hanging="0"/>
              <w:jc w:val="left"/>
              <w:rPr>
                <w:rFonts w:ascii="arial" w:eastAsia="arial" w:hAnsi="arial" w:cs="arial"/>
                <w:b/>
                <w:bCs/>
                <w:i w:val="false"/>
                <w:color w:val="000000"/>
                <w:sz w:val="18"/>
                <w:szCs w:val="18"/>
              </w:rPr>
            </w:pPr>
            <w:r>
              <w:rPr>
                <w:rFonts w:ascii="arial" w:eastAsia="arial" w:hAnsi="arial" w:cs="arial"/>
                <w:b/>
                <w:bCs/>
                <w:i w:val="false"/>
                <w:color w:val="000000"/>
                <w:sz w:val="18"/>
                <w:szCs w:val="18"/>
              </w:rPr>
              <w:t>Bonobos</w:t>
            </w:r>
          </w:p>
        </w:tc>
      </w:tr>
      <w:t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keepNext/>
              <w:keepLines/>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Bonobos launched in 2007 selling only men's pants, but subsequently expanded its product line to include shirts, sweaters, lounge wear, swimwear, formal wear, technical sporting wear and accessories. The company has grown to more than 60 brick-and-mortar locations and is the largest clothing brand ever built online in the United States. In 2017, Walmart Inc. acquired the company for $310.0 million. Bonobos's 60 retail stores display the company's entire inventory in all of the sizes available, enabling customers to try on and find their perfect size. However, no transactions are made in store and products are delivered to customers free of charge. At the onset of the pandemic, all Bonobos locations were temporarily closed, but they began opening up based on state-specific regulations. The company is currently operating stores at reduced capacities and following state guidelines regarding face masks. However, revenue generated by Bonobos is accounted for in the Online Men's Clothing Sales industry (OD5095). Similar to Indochino, Bonobos is an example of a company that is disrupting the traditional brick-and-mortar retail model as well as the online retail model.</w:t>
            </w:r>
          </w:p>
        </w:tc>
      </w:tr>
      <w:tr>
        <w:tc>
          <w:tcPr>
            <w:tcW w:w="1000" w:type="pct"/>
            <w:vAlign w:val="top"/>
          </w:tcPr>
          <w:p>
            <w:pPr>
              <w:keepNext/>
              <w:keepLines/>
            </w:pPr>
          </w:p>
        </w:tc>
        <w:tc>
          <w:tcPr>
            <w:tcW w:w="4000" w:type="pct"/>
            <w:vAlign w:val="top"/>
          </w:tcPr>
          <w:p>
            <w:pPr>
              <w:pStyle w:val="heading 3"/>
              <w:keepNext/>
              <w:keepLines/>
              <w:spacing w:before="0" w:after="180" w:lineRule="atLeast" w:line="270"/>
              <w:ind w:left="0" w:right="0" w:hanging="0"/>
              <w:jc w:val="left"/>
              <w:rPr>
                <w:rFonts w:ascii="arial" w:eastAsia="arial" w:hAnsi="arial" w:cs="arial"/>
                <w:b/>
                <w:bCs/>
                <w:i w:val="false"/>
                <w:color w:val="000000"/>
                <w:sz w:val="18"/>
                <w:szCs w:val="18"/>
              </w:rPr>
            </w:pPr>
            <w:r>
              <w:rPr>
                <w:rFonts w:ascii="arial" w:eastAsia="arial" w:hAnsi="arial" w:cs="arial"/>
                <w:b/>
                <w:bCs/>
                <w:i w:val="false"/>
                <w:color w:val="000000"/>
                <w:sz w:val="18"/>
                <w:szCs w:val="18"/>
              </w:rPr>
              <w:t>Indochino</w:t>
            </w:r>
          </w:p>
        </w:tc>
      </w:tr>
      <w:t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keepNext/>
              <w:keepLines/>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Indochino was founded in 2007 as a completely online company that enabled customers to take their measurements at home and order custom suits online. However, starting in 2015, the company launched brick-and-mortar showrooms, giving customers the opportunity to be measured by a professional. Indochino has expanded to 42 showrooms across North America, however, all showrooms were temporarily closed at the onset of the pandemic. However, as states have begun opening up, Indochino showrooms have also re-opened with capacity limits and other precautions. Currently, the company employs more than 600 individuals globally even though all of the suits are still ordered online and delivered to the customer within weeks. Recently, Indochino has expanded its product line to casual wear with the launch of INDOchinos, a line of casual khaki pants. Indochino is part of the Online Men's Clothing Sales industry (IBISWorld report OD5095). Nonetheless, the retail model used by Indochino is part of a growing trend within the broader retail industry and highlights how companies are trying to strike the balance between online and offline.</w:t>
            </w:r>
          </w:p>
        </w:tc>
      </w:tr>
    </w:tbl>
    <w:p>
      <w:pPr>
        <w:sectPr>
          <w:headerReference w:type="default" r:id="gemHfRid78"/>
          <w:footerReference w:type="default" r:id="gemHfRid79"/>
          <w:pgSz w:w="11907" w:h="16839" w:code="9"/>
          <w:pgMar w:top="640" w:right="640" w:bottom="640" w:left="640" w:header="0" w:footer="0" w:gutter="0"/>
          <w:cols w:space="708"/>
          <w:docGrid w:linePitch="360"/>
        </w:sectPr>
      </w:pPr>
    </w:p>
    <w:p>
      <w:pPr>
        <w:pStyle w:val="heading 1"/>
        <w:spacing w:before="0" w:after="240" w:lineRule="atLeast" w:line="420"/>
        <w:ind w:left="0" w:right="0" w:hanging="0"/>
        <w:jc w:val="left"/>
        <w:rPr>
          <w:rFonts w:ascii="arial" w:eastAsia="arial" w:hAnsi="arial" w:cs="arial"/>
          <w:b w:val="false"/>
          <w:bCs w:val="false"/>
          <w:i w:val="false"/>
          <w:color w:val="333333"/>
          <w:sz w:val="36"/>
          <w:szCs w:val="36"/>
        </w:rPr>
      </w:pPr>
      <w:bookmarkStart w:id="29" w:name="_Toc30"/>
      <w:r>
        <w:rPr>
          <w:rFonts w:ascii="arial" w:eastAsia="arial" w:hAnsi="arial" w:cs="arial"/>
          <w:b w:val="false"/>
          <w:bCs w:val="false"/>
          <w:i w:val="false"/>
          <w:color w:val="333333"/>
          <w:sz w:val="36"/>
          <w:szCs w:val="36"/>
        </w:rPr>
        <w:t>Operating Conditions</w:t>
      </w:r>
      <w:bookmarkEnd w:id="29"/>
    </w:p>
    <w:tbl>
      <w:tblPr>
        <w:tblW w:w="5000" w:type="pct"/>
        <w:jc w:val="left"/>
        <w:tblBorders>
          <w:top w:val="nil"/>
          <w:left w:val="nil"/>
          <w:bottom w:val="nil"/>
          <w:right w:val="nil"/>
          <w:insideH w:val="nil"/>
          <w:insideV w:val="nil"/>
        </w:tblBorders>
      </w:tblPr>
      <w:t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drawing>
                <wp:inline>
                  <wp:extent cx="5238750" cy="2672832"/>
                  <wp:docPr id="135" name="Picture 135"/>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PictureId58" cstate="print"/>
                          <a:stretch>
                            <a:fillRect/>
                          </a:stretch>
                        </pic:blipFill>
                        <pic:spPr>
                          <a:xfrm>
                            <a:off x="0" y="0"/>
                            <a:ext cx="5238750" cy="2672832"/>
                          </a:xfrm>
                          <a:prstGeom prst="rect">
                            <a:avLst/>
                          </a:prstGeom>
                        </pic:spPr>
                      </pic:pic>
                    </a:graphicData>
                  </a:graphic>
                </wp:inline>
              </w:drawing>
            </w: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30" w:name="_Toc31"/>
            <w:r>
              <w:rPr>
                <w:rFonts w:ascii="arial" w:eastAsia="arial" w:hAnsi="arial" w:cs="arial"/>
                <w:b/>
                <w:bCs/>
                <w:i w:val="false"/>
                <w:color w:val="333333"/>
                <w:spacing w:val="4"/>
                <w:sz w:val="21"/>
                <w:szCs w:val="21"/>
              </w:rPr>
              <w:t>Capital Intensity</w:t>
            </w:r>
            <w:bookmarkEnd w:id="30"/>
          </w:p>
        </w:tc>
        <w:tc>
          <w:tcPr>
            <w:tcW w:w="4000" w:type="pct"/>
            <w:vAlign w:val="top"/>
          </w:tcPr>
          <w:p>
            <w:pPr>
              <w:keepNext/>
              <w:keepLines/>
              <w:spacing w:before="0" w:after="12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 xml:space="preserve">The level of capital intensity is </w:t>
            </w:r>
            <w:r>
              <w:rPr>
                <w:rFonts w:ascii="arial" w:eastAsia="arial" w:hAnsi="arial" w:cs="arial"/>
                <w:b w:val="false"/>
                <w:bCs w:val="false"/>
                <w:i w:val="false"/>
                <w:sz w:val="16"/>
                <w:szCs w:val="16"/>
              </w:rPr>
              <w:t xml:space="preserve"> </w:t>
            </w:r>
            <w:r>
              <w:drawing>
                <wp:inline>
                  <wp:extent cx="91440" cy="91440"/>
                  <wp:docPr id="137" name="Picture 137" descr="Good"/>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PictureId59"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6"/>
                <w:szCs w:val="16"/>
              </w:rPr>
              <w:t xml:space="preserve">  </w:t>
            </w:r>
            <w:r>
              <w:rPr>
                <w:rFonts w:ascii="arial" w:eastAsia="arial" w:hAnsi="arial" w:cs="arial"/>
                <w:b/>
                <w:bCs/>
                <w:i w:val="false"/>
                <w:color w:val="086D06"/>
                <w:sz w:val="18"/>
                <w:szCs w:val="18"/>
              </w:rPr>
              <w:t>Low</w:t>
            </w:r>
          </w:p>
        </w:tc>
      </w:tr>
      <w:t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tbl>
            <w:tblPr>
              <w:tblW w:w="5000" w:type="pct"/>
              <w:jc w:val="left"/>
              <w:tblCellSpacing w:w="30" w:type="dxa"/>
              <w:tblBorders>
                <w:top w:val="nil"/>
                <w:left w:val="nil"/>
                <w:bottom w:val="nil"/>
                <w:right w:val="nil"/>
                <w:insideH w:val="nil"/>
                <w:insideV w:val="nil"/>
              </w:tblBorders>
              <w:tblCellMar>
                <w:top w:w="0" w:type="dxa"/>
                <w:left w:w="0" w:type="dxa"/>
                <w:bottom w:w="0" w:type="dxa"/>
                <w:right w:w="0" w:type="dxa"/>
              </w:tblCellMar>
            </w:tblPr>
            <w:tr>
              <w:tc>
                <w:tcPr>
                  <w:vAlign w:val="top"/>
                </w:tcPr>
                <w:p>
                  <w:pPr>
                    <w:keepNext/>
                    <w:keepLines/>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As is typical of the retail sector, operators within the Men's Clothing Stores industry generally incur much higher labor costs than capital costs. In 2020, for every $1.00 spent on labor, the typical operator is expected to spend $0.04 on capital investments. Labor costs are required for workers on the sales floor, in stocking rooms and in management positions. Capital expenditure comes in the form of display shelves and cash registers. An increase in the use of point-of-sale (POS) systems, which monitor inventory levels, sales and taxes collected, is slowly increasing the capital expenditure of some operators within this industry.</w:t>
                  </w:r>
                </w:p>
              </w:tc>
              <w:tc>
                <w:tcPr>
                  <w:tcW w:w="4440" w:type="dxa"/>
                  <w:vAlign w:val="top"/>
                </w:tcPr>
                <w:p>
                  <w:pPr>
                    <w:keepNext/>
                    <w:keepLines/>
                    <w:spacing w:before="0" w:after="0" w:lineRule="atLeast" w:line="225"/>
                    <w:ind w:hanging="0"/>
                    <w:jc w:val="left"/>
                    <w:rPr>
                      <w:rFonts w:ascii="arial" w:eastAsia="arial" w:hAnsi="arial" w:cs="arial"/>
                      <w:b w:val="false"/>
                      <w:bCs w:val="false"/>
                      <w:i w:val="false"/>
                      <w:sz w:val="16"/>
                      <w:szCs w:val="16"/>
                    </w:rPr>
                  </w:pPr>
                  <w:r>
                    <w:drawing>
                      <wp:inline>
                        <wp:extent cx="2857500" cy="4762500"/>
                        <wp:docPr id="139" name="Picture 139"/>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PictureId60" cstate="print"/>
                                <a:stretch>
                                  <a:fillRect/>
                                </a:stretch>
                              </pic:blipFill>
                              <pic:spPr>
                                <a:xfrm>
                                  <a:off x="0" y="0"/>
                                  <a:ext cx="2857500" cy="4762500"/>
                                </a:xfrm>
                                <a:prstGeom prst="rect">
                                  <a:avLst/>
                                </a:prstGeom>
                              </pic:spPr>
                            </pic:pic>
                          </a:graphicData>
                        </a:graphic>
                      </wp:inline>
                    </w:drawing>
                  </w:r>
                </w:p>
              </w:tc>
            </w:tr>
          </w:tbl>
          <w:p>
            <w:pP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r>
              <w:br/>
            </w:r>
          </w:p>
        </w:tc>
      </w:t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31" w:name="_Toc32"/>
            <w:r>
              <w:rPr>
                <w:rFonts w:ascii="arial" w:eastAsia="arial" w:hAnsi="arial" w:cs="arial"/>
                <w:b/>
                <w:bCs/>
                <w:i w:val="false"/>
                <w:color w:val="333333"/>
                <w:spacing w:val="4"/>
                <w:sz w:val="21"/>
                <w:szCs w:val="21"/>
              </w:rPr>
              <w:t>Technology &amp; Systems</w:t>
            </w:r>
            <w:bookmarkEnd w:id="31"/>
          </w:p>
        </w:tc>
        <w:tc>
          <w:tcPr>
            <w:tcW w:w="4000" w:type="pct"/>
            <w:vAlign w:val="top"/>
          </w:tcPr>
          <w:p>
            <w:pPr>
              <w:keepNext/>
              <w:keepLines/>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Potential Disruptive Innovation: Factors Driving Threat of Change</w:t>
            </w:r>
          </w:p>
        </w:tc>
      </w:tr>
      <w:tr>
        <w:trPr>
          <w:cantSplit/>
        </w:trP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tbl>
            <w:tblPr>
              <w:tblW w:w="5000" w:type="pct"/>
              <w:jc w:val="left"/>
              <w:tblCellSpacing w:w="30" w:type="dxa"/>
              <w:tblBorders>
                <w:top w:val="nil"/>
                <w:left w:val="nil"/>
                <w:bottom w:val="nil"/>
                <w:right w:val="nil"/>
                <w:insideH w:val="nil"/>
                <w:insideV w:val="nil"/>
              </w:tblBorders>
            </w:tblPr>
            <w:tr>
              <w:trPr>
                <w:tblHeader/>
              </w:trPr>
              <w:tc>
                <w:tcPr>
                  <w:gridSpan w:val="2"/>
                  <w:tcMar>
                    <w:top w:w="60" w:type="dxa"/>
                    <w:left w:w="0" w:type="dxa"/>
                    <w:bottom w:w="60" w:type="dxa"/>
                    <w:right w:w="150" w:type="dxa"/>
                  </w:tcMar>
                  <w:vAlign w:val="center"/>
                </w:tcPr>
                <w:p>
                  <w:pPr>
                    <w:keepNext/>
                    <w:keepLines/>
                    <w:spacing w:before="60" w:after="60" w:lineRule="atLeast" w:line="270"/>
                    <w:ind w:right="150" w:hanging="0"/>
                    <w:jc w:val="left"/>
                    <w:rPr>
                      <w:rFonts w:ascii="arial" w:eastAsia="arial" w:hAnsi="arial" w:cs="arial"/>
                      <w:b/>
                      <w:bCs/>
                      <w:i w:val="false"/>
                      <w:sz w:val="21"/>
                      <w:szCs w:val="21"/>
                    </w:rPr>
                  </w:pPr>
                  <w:r>
                    <w:rPr>
                      <w:rFonts w:ascii="arial" w:eastAsia="arial" w:hAnsi="arial" w:cs="arial"/>
                      <w:b/>
                      <w:bCs/>
                      <w:i w:val="false"/>
                      <w:sz w:val="21"/>
                      <w:szCs w:val="21"/>
                    </w:rPr>
                    <w:t>Level</w:t>
                  </w:r>
                </w:p>
              </w:tc>
              <w:tc>
                <w:tcPr>
                  <w:tcMar>
                    <w:top w:w="60" w:type="dxa"/>
                    <w:left w:w="0" w:type="dxa"/>
                    <w:bottom w:w="60" w:type="dxa"/>
                    <w:right w:w="150" w:type="dxa"/>
                  </w:tcMar>
                  <w:vAlign w:val="center"/>
                </w:tcPr>
                <w:p>
                  <w:pPr>
                    <w:keepNext/>
                    <w:keepLines/>
                    <w:spacing w:before="60" w:after="60" w:lineRule="atLeast" w:line="270"/>
                    <w:ind w:right="150" w:hanging="0"/>
                    <w:jc w:val="left"/>
                    <w:rPr>
                      <w:rFonts w:ascii="arial" w:eastAsia="arial" w:hAnsi="arial" w:cs="arial"/>
                      <w:b/>
                      <w:bCs/>
                      <w:i w:val="false"/>
                      <w:sz w:val="21"/>
                      <w:szCs w:val="21"/>
                    </w:rPr>
                  </w:pPr>
                  <w:r>
                    <w:rPr>
                      <w:rFonts w:ascii="arial" w:eastAsia="arial" w:hAnsi="arial" w:cs="arial"/>
                      <w:b/>
                      <w:bCs/>
                      <w:i w:val="false"/>
                      <w:sz w:val="21"/>
                      <w:szCs w:val="21"/>
                    </w:rPr>
                    <w:t>Factor</w:t>
                  </w:r>
                </w:p>
              </w:tc>
              <w:tc>
                <w:tcPr>
                  <w:tcMar>
                    <w:top w:w="60" w:type="dxa"/>
                    <w:left w:w="0" w:type="dxa"/>
                    <w:bottom w:w="60" w:type="dxa"/>
                    <w:right w:w="150" w:type="dxa"/>
                  </w:tcMar>
                  <w:vAlign w:val="center"/>
                </w:tcPr>
                <w:p>
                  <w:pPr>
                    <w:keepNext/>
                    <w:keepLines/>
                    <w:spacing w:before="60" w:after="60" w:lineRule="atLeast" w:line="270"/>
                    <w:ind w:right="150" w:hanging="0"/>
                    <w:jc w:val="left"/>
                    <w:rPr>
                      <w:rFonts w:ascii="arial" w:eastAsia="arial" w:hAnsi="arial" w:cs="arial"/>
                      <w:b/>
                      <w:bCs/>
                      <w:i w:val="false"/>
                      <w:sz w:val="21"/>
                      <w:szCs w:val="21"/>
                    </w:rPr>
                  </w:pPr>
                  <w:r>
                    <w:rPr>
                      <w:rFonts w:ascii="arial" w:eastAsia="arial" w:hAnsi="arial" w:cs="arial"/>
                      <w:b/>
                      <w:bCs/>
                      <w:i w:val="false"/>
                      <w:sz w:val="21"/>
                      <w:szCs w:val="21"/>
                    </w:rPr>
                    <w:t>Disruptive Effect</w:t>
                  </w:r>
                </w:p>
              </w:tc>
              <w:tc>
                <w:tcPr>
                  <w:tcMar>
                    <w:top w:w="60" w:type="dxa"/>
                    <w:left w:w="0" w:type="dxa"/>
                    <w:bottom w:w="60" w:type="dxa"/>
                    <w:right w:w="150" w:type="dxa"/>
                  </w:tcMar>
                  <w:vAlign w:val="center"/>
                </w:tcPr>
                <w:p>
                  <w:pPr>
                    <w:keepNext/>
                    <w:keepLines/>
                    <w:spacing w:before="60" w:after="60" w:lineRule="atLeast" w:line="270"/>
                    <w:ind w:right="150" w:hanging="0"/>
                    <w:jc w:val="left"/>
                    <w:rPr>
                      <w:rFonts w:ascii="arial" w:eastAsia="arial" w:hAnsi="arial" w:cs="arial"/>
                      <w:b/>
                      <w:bCs/>
                      <w:i w:val="false"/>
                      <w:sz w:val="21"/>
                      <w:szCs w:val="21"/>
                    </w:rPr>
                  </w:pPr>
                  <w:r>
                    <w:rPr>
                      <w:rFonts w:ascii="arial" w:eastAsia="arial" w:hAnsi="arial" w:cs="arial"/>
                      <w:b/>
                      <w:bCs/>
                      <w:i w:val="false"/>
                      <w:sz w:val="21"/>
                      <w:szCs w:val="21"/>
                    </w:rPr>
                    <w:t>Description</w:t>
                  </w:r>
                </w:p>
              </w:tc>
            </w:tr>
            <w:tr>
              <w:tc>
                <w:tcPr>
                  <w:tcW w:w="600" w:type="dxa"/>
                  <w:tcBorders>
                    <w:top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drawing>
                      <wp:inline>
                        <wp:extent cx="146304" cy="146304"/>
                        <wp:docPr id="141" name="Picture 141" descr="Good"/>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PictureId61" cstate="print"/>
                                <a:stretch>
                                  <a:fillRect/>
                                </a:stretch>
                              </pic:blipFill>
                              <pic:spPr>
                                <a:xfrm>
                                  <a:off x="0" y="0"/>
                                  <a:ext cx="146304" cy="146304"/>
                                </a:xfrm>
                                <a:prstGeom prst="rect">
                                  <a:avLst/>
                                </a:prstGeom>
                              </pic:spPr>
                            </pic:pic>
                          </a:graphicData>
                        </a:graphic>
                      </wp:inline>
                    </w:drawing>
                  </w:r>
                </w:p>
              </w:tc>
              <w:tc>
                <w:tcPr>
                  <w:tcW w:w="1500" w:type="pct"/>
                  <w:tcBorders>
                    <w:top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54AA62"/>
                      <w:sz w:val="21"/>
                      <w:szCs w:val="21"/>
                    </w:rPr>
                    <w:t>Very Low</w:t>
                  </w:r>
                </w:p>
              </w:tc>
              <w:tc>
                <w:tcPr>
                  <w:tcW w:w="2100" w:type="dxa"/>
                  <w:tcBorders>
                    <w:top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54AA62"/>
                      <w:sz w:val="21"/>
                      <w:szCs w:val="21"/>
                    </w:rPr>
                    <w:t>Rate of Innovation</w:t>
                  </w:r>
                </w:p>
              </w:tc>
              <w:tc>
                <w:tcPr>
                  <w:tcW w:w="2100" w:type="dxa"/>
                  <w:tcBorders>
                    <w:top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54AA62"/>
                      <w:sz w:val="21"/>
                      <w:szCs w:val="21"/>
                    </w:rPr>
                    <w:t>Very Unlikely</w:t>
                  </w:r>
                </w:p>
              </w:tc>
              <w:tc>
                <w:tcPr>
                  <w:tcW w:w="4000" w:type="pct"/>
                  <w:tcBorders>
                    <w:top w:val="single" w:sz="6" w:color="D8DDEA"/>
                  </w:tcBorders>
                  <w:tcMar>
                    <w:top w:w="60" w:type="dxa"/>
                    <w:left w:w="0" w:type="dxa"/>
                    <w:bottom w:w="60" w:type="dxa"/>
                    <w:right w:w="150" w:type="dxa"/>
                  </w:tcMar>
                  <w:vAlign w:val="top"/>
                </w:tcPr>
                <w:p>
                  <w:pPr>
                    <w:keepNext/>
                    <w:keepLines/>
                    <w:spacing w:before="0" w:after="0" w:lineRule="atLeast" w:line="24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000000"/>
                      <w:sz w:val="18"/>
                      <w:szCs w:val="18"/>
                    </w:rPr>
                    <w:t>A ranked measure for the number of patents assigned to an industry. A faster rate of new patent additions to the industry increases the likelihood of a disruptive innovation occurring.</w:t>
                  </w:r>
                </w:p>
              </w:tc>
            </w:tr>
            <w:tr>
              <w:tc>
                <w:tcPr>
                  <w:tcW w:w="600" w:type="dxa"/>
                  <w:tcBorders>
                    <w:top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drawing>
                      <wp:inline>
                        <wp:extent cx="146304" cy="146304"/>
                        <wp:docPr id="143" name="Picture 143" descr="Bad"/>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PictureId62" cstate="print"/>
                                <a:stretch>
                                  <a:fillRect/>
                                </a:stretch>
                              </pic:blipFill>
                              <pic:spPr>
                                <a:xfrm>
                                  <a:off x="0" y="0"/>
                                  <a:ext cx="146304" cy="146304"/>
                                </a:xfrm>
                                <a:prstGeom prst="rect">
                                  <a:avLst/>
                                </a:prstGeom>
                              </pic:spPr>
                            </pic:pic>
                          </a:graphicData>
                        </a:graphic>
                      </wp:inline>
                    </w:drawing>
                  </w:r>
                </w:p>
              </w:tc>
              <w:tc>
                <w:tcPr>
                  <w:tcW w:w="1500" w:type="pct"/>
                  <w:tcBorders>
                    <w:top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DB1F2C"/>
                      <w:sz w:val="21"/>
                      <w:szCs w:val="21"/>
                    </w:rPr>
                    <w:t>High</w:t>
                  </w:r>
                </w:p>
              </w:tc>
              <w:tc>
                <w:tcPr>
                  <w:tcW w:w="2100" w:type="dxa"/>
                  <w:tcBorders>
                    <w:top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DB1F2C"/>
                      <w:sz w:val="21"/>
                      <w:szCs w:val="21"/>
                    </w:rPr>
                    <w:t>Innovation Concentration</w:t>
                  </w:r>
                </w:p>
              </w:tc>
              <w:tc>
                <w:tcPr>
                  <w:tcW w:w="2100" w:type="dxa"/>
                  <w:tcBorders>
                    <w:top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DB1F2C"/>
                      <w:sz w:val="21"/>
                      <w:szCs w:val="21"/>
                    </w:rPr>
                    <w:t>Likely</w:t>
                  </w:r>
                </w:p>
              </w:tc>
              <w:tc>
                <w:tcPr>
                  <w:tcW w:w="4000" w:type="pct"/>
                  <w:tcBorders>
                    <w:top w:val="single" w:sz="6" w:color="D8DDEA"/>
                  </w:tcBorders>
                  <w:tcMar>
                    <w:top w:w="60" w:type="dxa"/>
                    <w:left w:w="0" w:type="dxa"/>
                    <w:bottom w:w="60" w:type="dxa"/>
                    <w:right w:w="150" w:type="dxa"/>
                  </w:tcMar>
                  <w:vAlign w:val="top"/>
                </w:tcPr>
                <w:p>
                  <w:pPr>
                    <w:keepNext/>
                    <w:keepLines/>
                    <w:spacing w:before="0" w:after="0" w:lineRule="atLeast" w:line="24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000000"/>
                      <w:sz w:val="18"/>
                      <w:szCs w:val="18"/>
                    </w:rPr>
                    <w:t>A measure for the mix of patent classes assigned to the industry. A greater concentration of patents in one area increases the likelihood of technological disruption of incumbent operators.</w:t>
                  </w:r>
                </w:p>
              </w:tc>
            </w:tr>
            <w:tr>
              <w:tc>
                <w:tcPr>
                  <w:tcW w:w="600" w:type="dxa"/>
                  <w:tcBorders>
                    <w:top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drawing>
                      <wp:inline>
                        <wp:extent cx="146304" cy="146304"/>
                        <wp:docPr id="145" name="Picture 145" descr="Neutral"/>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PictureId63" cstate="print"/>
                                <a:stretch>
                                  <a:fillRect/>
                                </a:stretch>
                              </pic:blipFill>
                              <pic:spPr>
                                <a:xfrm>
                                  <a:off x="0" y="0"/>
                                  <a:ext cx="146304" cy="146304"/>
                                </a:xfrm>
                                <a:prstGeom prst="rect">
                                  <a:avLst/>
                                </a:prstGeom>
                              </pic:spPr>
                            </pic:pic>
                          </a:graphicData>
                        </a:graphic>
                      </wp:inline>
                    </w:drawing>
                  </w:r>
                </w:p>
              </w:tc>
              <w:tc>
                <w:tcPr>
                  <w:tcW w:w="1500" w:type="pct"/>
                  <w:tcBorders>
                    <w:top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F58232"/>
                      <w:sz w:val="21"/>
                      <w:szCs w:val="21"/>
                    </w:rPr>
                    <w:t>Medium</w:t>
                  </w:r>
                </w:p>
              </w:tc>
              <w:tc>
                <w:tcPr>
                  <w:tcW w:w="2100" w:type="dxa"/>
                  <w:tcBorders>
                    <w:top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F58232"/>
                      <w:sz w:val="21"/>
                      <w:szCs w:val="21"/>
                    </w:rPr>
                    <w:t>Ease of Entry</w:t>
                  </w:r>
                </w:p>
              </w:tc>
              <w:tc>
                <w:tcPr>
                  <w:tcW w:w="2100" w:type="dxa"/>
                  <w:tcBorders>
                    <w:top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F58232"/>
                      <w:sz w:val="21"/>
                      <w:szCs w:val="21"/>
                    </w:rPr>
                    <w:t>Potential</w:t>
                  </w:r>
                </w:p>
              </w:tc>
              <w:tc>
                <w:tcPr>
                  <w:tcW w:w="4000" w:type="pct"/>
                  <w:tcBorders>
                    <w:top w:val="single" w:sz="6" w:color="D8DDEA"/>
                  </w:tcBorders>
                  <w:tcMar>
                    <w:top w:w="60" w:type="dxa"/>
                    <w:left w:w="0" w:type="dxa"/>
                    <w:bottom w:w="60" w:type="dxa"/>
                    <w:right w:w="150" w:type="dxa"/>
                  </w:tcMar>
                  <w:vAlign w:val="top"/>
                </w:tcPr>
                <w:p>
                  <w:pPr>
                    <w:keepNext/>
                    <w:keepLines/>
                    <w:spacing w:before="0" w:after="0" w:lineRule="atLeast" w:line="24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000000"/>
                      <w:sz w:val="18"/>
                      <w:szCs w:val="18"/>
                    </w:rPr>
                    <w:t>A qualitative measure of barriers to entry. Fewer barriers to entry increases the likelihood that new entrants can disrupt incumbents by putting new technologies to use.</w:t>
                  </w:r>
                </w:p>
              </w:tc>
            </w:tr>
            <w:tr>
              <w:tc>
                <w:tcPr>
                  <w:tcW w:w="600" w:type="dxa"/>
                  <w:tcBorders>
                    <w:top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drawing>
                      <wp:inline>
                        <wp:extent cx="146304" cy="146304"/>
                        <wp:docPr id="147" name="Picture 147" descr="Good"/>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PictureId61" cstate="print"/>
                                <a:stretch>
                                  <a:fillRect/>
                                </a:stretch>
                              </pic:blipFill>
                              <pic:spPr>
                                <a:xfrm>
                                  <a:off x="0" y="0"/>
                                  <a:ext cx="146304" cy="146304"/>
                                </a:xfrm>
                                <a:prstGeom prst="rect">
                                  <a:avLst/>
                                </a:prstGeom>
                              </pic:spPr>
                            </pic:pic>
                          </a:graphicData>
                        </a:graphic>
                      </wp:inline>
                    </w:drawing>
                  </w:r>
                </w:p>
              </w:tc>
              <w:tc>
                <w:tcPr>
                  <w:tcW w:w="1500" w:type="pct"/>
                  <w:tcBorders>
                    <w:top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54AA62"/>
                      <w:sz w:val="21"/>
                      <w:szCs w:val="21"/>
                    </w:rPr>
                    <w:t>Low</w:t>
                  </w:r>
                </w:p>
              </w:tc>
              <w:tc>
                <w:tcPr>
                  <w:tcW w:w="2100" w:type="dxa"/>
                  <w:tcBorders>
                    <w:top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54AA62"/>
                      <w:sz w:val="21"/>
                      <w:szCs w:val="21"/>
                    </w:rPr>
                    <w:t>Rate of Entry</w:t>
                  </w:r>
                </w:p>
              </w:tc>
              <w:tc>
                <w:tcPr>
                  <w:tcW w:w="2100" w:type="dxa"/>
                  <w:tcBorders>
                    <w:top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54AA62"/>
                      <w:sz w:val="21"/>
                      <w:szCs w:val="21"/>
                    </w:rPr>
                    <w:t>Unlikely</w:t>
                  </w:r>
                </w:p>
              </w:tc>
              <w:tc>
                <w:tcPr>
                  <w:tcW w:w="4000" w:type="pct"/>
                  <w:tcBorders>
                    <w:top w:val="single" w:sz="6" w:color="D8DDEA"/>
                  </w:tcBorders>
                  <w:tcMar>
                    <w:top w:w="60" w:type="dxa"/>
                    <w:left w:w="0" w:type="dxa"/>
                    <w:bottom w:w="60" w:type="dxa"/>
                    <w:right w:w="150" w:type="dxa"/>
                  </w:tcMar>
                  <w:vAlign w:val="top"/>
                </w:tcPr>
                <w:p>
                  <w:pPr>
                    <w:keepNext/>
                    <w:keepLines/>
                    <w:spacing w:before="0" w:after="0" w:lineRule="atLeast" w:line="24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000000"/>
                      <w:sz w:val="18"/>
                      <w:szCs w:val="18"/>
                    </w:rPr>
                    <w:t>Annualized growth in the number of enterprises in the industry, ranked against all other industries. A greater intensity of companies entering an industry increases the pool of potential disruptors.</w:t>
                  </w:r>
                </w:p>
              </w:tc>
            </w:tr>
            <w:tr>
              <w:tc>
                <w:tcPr>
                  <w:tcW w:w="600" w:type="dxa"/>
                  <w:tcBorders>
                    <w:top w:val="single" w:sz="6" w:color="D8DDEA"/>
                    <w:bottom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drawing>
                      <wp:inline>
                        <wp:extent cx="146304" cy="146304"/>
                        <wp:docPr id="149" name="Picture 149" descr="Neutral"/>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PictureId63" cstate="print"/>
                                <a:stretch>
                                  <a:fillRect/>
                                </a:stretch>
                              </pic:blipFill>
                              <pic:spPr>
                                <a:xfrm>
                                  <a:off x="0" y="0"/>
                                  <a:ext cx="146304" cy="146304"/>
                                </a:xfrm>
                                <a:prstGeom prst="rect">
                                  <a:avLst/>
                                </a:prstGeom>
                              </pic:spPr>
                            </pic:pic>
                          </a:graphicData>
                        </a:graphic>
                      </wp:inline>
                    </w:drawing>
                  </w:r>
                </w:p>
              </w:tc>
              <w:tc>
                <w:tcPr>
                  <w:tcW w:w="1500" w:type="pct"/>
                  <w:tcBorders>
                    <w:top w:val="single" w:sz="6" w:color="D8DDEA"/>
                    <w:bottom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F58232"/>
                      <w:sz w:val="21"/>
                      <w:szCs w:val="21"/>
                    </w:rPr>
                    <w:t>Medium</w:t>
                  </w:r>
                </w:p>
              </w:tc>
              <w:tc>
                <w:tcPr>
                  <w:tcW w:w="2100" w:type="dxa"/>
                  <w:tcBorders>
                    <w:top w:val="single" w:sz="6" w:color="D8DDEA"/>
                    <w:bottom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F58232"/>
                      <w:sz w:val="21"/>
                      <w:szCs w:val="21"/>
                    </w:rPr>
                    <w:t>Market Concentration</w:t>
                  </w:r>
                </w:p>
              </w:tc>
              <w:tc>
                <w:tcPr>
                  <w:tcW w:w="2100" w:type="dxa"/>
                  <w:tcBorders>
                    <w:top w:val="single" w:sz="6" w:color="D8DDEA"/>
                    <w:bottom w:val="single" w:sz="6" w:color="D8DDEA"/>
                  </w:tcBorders>
                  <w:tcMar>
                    <w:top w:w="60" w:type="dxa"/>
                    <w:left w:w="0" w:type="dxa"/>
                    <w:bottom w:w="60" w:type="dxa"/>
                    <w:right w:w="150" w:type="dxa"/>
                  </w:tcMar>
                  <w:vAlign w:val="top"/>
                </w:tcPr>
                <w:p>
                  <w:pPr>
                    <w:keepNext/>
                    <w:keepLines/>
                    <w:spacing w:before="0" w:after="0" w:lineRule="atLeast" w:line="27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F58232"/>
                      <w:sz w:val="21"/>
                      <w:szCs w:val="21"/>
                    </w:rPr>
                    <w:t>Potential</w:t>
                  </w:r>
                </w:p>
              </w:tc>
              <w:tc>
                <w:tcPr>
                  <w:tcW w:w="4000" w:type="pct"/>
                  <w:tcBorders>
                    <w:top w:val="single" w:sz="6" w:color="D8DDEA"/>
                    <w:bottom w:val="single" w:sz="6" w:color="D8DDEA"/>
                  </w:tcBorders>
                  <w:tcMar>
                    <w:top w:w="60" w:type="dxa"/>
                    <w:left w:w="0" w:type="dxa"/>
                    <w:bottom w:w="60" w:type="dxa"/>
                    <w:right w:w="150" w:type="dxa"/>
                  </w:tcMar>
                  <w:vAlign w:val="top"/>
                </w:tcPr>
                <w:p>
                  <w:pPr>
                    <w:keepNext/>
                    <w:keepLines/>
                    <w:spacing w:before="0" w:after="0" w:lineRule="atLeast" w:line="240"/>
                    <w:ind w:hanging="0"/>
                    <w:jc w:val="left"/>
                    <w:rPr>
                      <w:rFonts w:ascii="arial" w:eastAsia="arial" w:hAnsi="arial" w:cs="arial"/>
                      <w:b w:val="false"/>
                      <w:bCs w:val="false"/>
                      <w:i w:val="false"/>
                      <w:sz w:val="16"/>
                      <w:szCs w:val="16"/>
                    </w:rPr>
                  </w:pPr>
                  <w:r>
                    <w:rPr>
                      <w:rFonts w:ascii="arial" w:eastAsia="arial" w:hAnsi="arial" w:cs="arial"/>
                      <w:b w:val="false"/>
                      <w:bCs w:val="false"/>
                      <w:i w:val="false"/>
                      <w:color w:val="000000"/>
                      <w:sz w:val="18"/>
                      <w:szCs w:val="18"/>
                    </w:rPr>
                    <w:t>A ranked measure of the largest core market for the industry. Concentrated core markets present a low-end market or new market entry point for disruptive technologies to capture market share.</w:t>
                  </w:r>
                </w:p>
              </w:tc>
            </w:tr>
          </w:tbl>
          <w:p>
            <w:pP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r>
              <w:br/>
            </w:r>
          </w:p>
        </w:tc>
      </w:tr>
      <w:t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The rate of new patent technologies entering the industry is low, which limits the potential for innovations. A low rate does not mean that innovations cannot occur, just that the likelihood of some innovation materializing as a threat is lower. However, the concentration of technologies is high in this industry. This suggests that industry operators have exposure to potentially unforeseen areas of innovation.</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Industry operators are exposed to a low rate of new entrants and a moderate level of entry barriers. This combination of factors creates an environment where entry trends are not a key threat of disruption.</w:t>
            </w:r>
          </w:p>
          <w:p>
            <w:pPr>
              <w:keepNext/>
              <w:keepLines/>
              <w:spacing w:before="0" w:after="0" w:lineRule="atLeast" w:line="300"/>
              <w:ind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There are several relevant disruptive forces in the Men's Clothing Stores industry, including subscription boxes and direct-to-consumer retail operators.</w:t>
            </w:r>
          </w:p>
          <w:p>
            <w:pPr>
              <w:keepNext/>
              <w:keepLines/>
              <w:spacing w:before="0" w:after="0" w:lineRule="atLeast" w:line="225"/>
              <w:ind w:hanging="0"/>
              <w:jc w:val="left"/>
              <w:rPr>
                <w:rFonts w:ascii="arial" w:eastAsia="arial" w:hAnsi="arial" w:cs="arial"/>
                <w:b w:val="false"/>
                <w:bCs w:val="false"/>
                <w:i w:val="false"/>
                <w:sz w:val="16"/>
                <w:szCs w:val="16"/>
              </w:rPr>
            </w:pP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Companies such as Bonobos and Indochino have brick-and-mortar stores that act more as showrooms. They have clothing on display in all of the sizes offered; however, rather than purchasing in-store, all clothing is ordered online and sent directly to the consumer. This gives the consumer the opportunity to physically try on products before buying, and enables the operator to not waste money on excess backstock and storage. Additionally, subscription box services, such as Stitch Fix, send customers a personalized box every month based off of survey responses and style preferences. Both of these business models have been acting in the industry for several years and current operators have been unable to successfully mimic these models. As a result, there is potential that the innovation with result in a shift in industry landscape and market structure.</w:t>
            </w:r>
          </w:p>
          <w:p>
            <w:pPr>
              <w:keepNext/>
              <w:keepLines/>
              <w:spacing w:before="0" w:after="12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 xml:space="preserve">The level of technology change is </w:t>
            </w:r>
            <w:r>
              <w:rPr>
                <w:rFonts w:ascii="arial" w:eastAsia="arial" w:hAnsi="arial" w:cs="arial"/>
                <w:b w:val="false"/>
                <w:bCs w:val="false"/>
                <w:i w:val="false"/>
                <w:sz w:val="16"/>
                <w:szCs w:val="16"/>
              </w:rPr>
              <w:t xml:space="preserve"> </w:t>
            </w:r>
            <w:r>
              <w:drawing>
                <wp:inline>
                  <wp:extent cx="91440" cy="91440"/>
                  <wp:docPr id="151" name="Picture 151" descr="Neutral"/>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PictureId64"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6"/>
                <w:szCs w:val="16"/>
              </w:rPr>
              <w:t xml:space="preserve">  </w:t>
            </w:r>
            <w:r>
              <w:rPr>
                <w:rFonts w:ascii="arial" w:eastAsia="arial" w:hAnsi="arial" w:cs="arial"/>
                <w:b/>
                <w:bCs/>
                <w:i w:val="false"/>
                <w:color w:val="F58232"/>
                <w:sz w:val="18"/>
                <w:szCs w:val="18"/>
              </w:rPr>
              <w:t>Medium</w:t>
            </w:r>
          </w:p>
        </w:tc>
      </w:tr>
      <w:t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keepNext/>
              <w:keepLines/>
              <w:spacing w:before="0" w:after="0" w:lineRule="atLeast" w:line="300"/>
              <w:ind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Technological advances relevant to the Men's Clothing Stores industry include the use of electronic cash registers, electronic scanning devices and automated warehouse equipment.</w:t>
            </w:r>
          </w:p>
          <w:p>
            <w:pPr>
              <w:keepNext/>
              <w:keepLines/>
              <w:spacing w:before="0" w:after="0" w:lineRule="atLeast" w:line="225"/>
              <w:ind w:hanging="0"/>
              <w:jc w:val="left"/>
              <w:rPr>
                <w:rFonts w:ascii="arial" w:eastAsia="arial" w:hAnsi="arial" w:cs="arial"/>
                <w:b w:val="false"/>
                <w:bCs w:val="false"/>
                <w:i w:val="false"/>
                <w:sz w:val="16"/>
                <w:szCs w:val="16"/>
              </w:rPr>
            </w:pP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Electronic barcode scanning systems enable efficient customer checkout and returns, store-based inventory management and rapid order replenishment. The introduction of scanning and electronic data interchange has improved the industry's management and distribution of stock.</w:t>
            </w:r>
          </w:p>
          <w:p>
            <w:pPr>
              <w:keepNext/>
              <w:keepLines/>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With stock loss and theft negatively affecting industry profitability, retailers continually invest in systems and procedures that aim to limit these losses. This technology includes closed-circuit TV cameras, source tagging, signature-capture technology and fingerprint scanning systems that verify customer identities. Technology such as radio-frequency identification (RFID) is also used to reduce theft. This technology tracks products from the time they leave the assembly line to the time they leave the store by releasing continuous signals from a chip inserted in the product at the manufacturing stage. The penetration of this technology remains low, as costs are fairly high, but with the RFID industry achieving rapid growth in recent years, the costs associated with this technology are expected to fall as its acceptance increases. Overall, the use of this technology will help the industry participants that use it, giving them a competitive edge over those that choose not to use it.</w:t>
            </w: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32" w:name="_Toc33"/>
            <w:r>
              <w:rPr>
                <w:rFonts w:ascii="arial" w:eastAsia="arial" w:hAnsi="arial" w:cs="arial"/>
                <w:b/>
                <w:bCs/>
                <w:i w:val="false"/>
                <w:color w:val="333333"/>
                <w:spacing w:val="4"/>
                <w:sz w:val="21"/>
                <w:szCs w:val="21"/>
              </w:rPr>
              <w:t>Revenue Volatility</w:t>
            </w:r>
            <w:bookmarkEnd w:id="32"/>
          </w:p>
        </w:tc>
        <w:tc>
          <w:tcPr>
            <w:tcW w:w="4000" w:type="pct"/>
            <w:vAlign w:val="top"/>
          </w:tcPr>
          <w:p>
            <w:pPr>
              <w:keepNext/>
              <w:keepLines/>
              <w:spacing w:before="0" w:after="12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 xml:space="preserve">The level of volatility is </w:t>
            </w:r>
            <w:r>
              <w:rPr>
                <w:rFonts w:ascii="arial" w:eastAsia="arial" w:hAnsi="arial" w:cs="arial"/>
                <w:b w:val="false"/>
                <w:bCs w:val="false"/>
                <w:i w:val="false"/>
                <w:sz w:val="16"/>
                <w:szCs w:val="16"/>
              </w:rPr>
              <w:t xml:space="preserve"> </w:t>
            </w:r>
            <w:r>
              <w:drawing>
                <wp:inline>
                  <wp:extent cx="91440" cy="91440"/>
                  <wp:docPr id="153" name="Picture 153" descr="Neutral"/>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PictureId64"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6"/>
                <w:szCs w:val="16"/>
              </w:rPr>
              <w:t xml:space="preserve">  </w:t>
            </w:r>
            <w:r>
              <w:rPr>
                <w:rFonts w:ascii="arial" w:eastAsia="arial" w:hAnsi="arial" w:cs="arial"/>
                <w:b/>
                <w:bCs/>
                <w:i w:val="false"/>
                <w:color w:val="F58232"/>
                <w:sz w:val="18"/>
                <w:szCs w:val="18"/>
              </w:rPr>
              <w:t>Medium</w:t>
            </w:r>
          </w:p>
        </w:tc>
      </w:tr>
      <w:t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drawing>
                <wp:inline>
                  <wp:extent cx="5238750" cy="2672832"/>
                  <wp:docPr id="155" name="Picture 155"/>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PictureId65" cstate="print"/>
                          <a:stretch>
                            <a:fillRect/>
                          </a:stretch>
                        </pic:blipFill>
                        <pic:spPr>
                          <a:xfrm>
                            <a:off x="0" y="0"/>
                            <a:ext cx="5238750" cy="2672832"/>
                          </a:xfrm>
                          <a:prstGeom prst="rect">
                            <a:avLst/>
                          </a:prstGeom>
                        </pic:spPr>
                      </pic:pic>
                    </a:graphicData>
                  </a:graphic>
                </wp:inline>
              </w:drawing>
            </w:r>
          </w:p>
        </w:tc>
      </w:tr>
      <w:tr>
        <w:tc>
          <w:tcPr>
            <w:tcW w:w="1000" w:type="pct"/>
            <w:vAlign w:val="top"/>
          </w:tcPr>
          <w:p>
            <w:pPr>
              <w:keepNext/>
              <w:keepLines/>
              <w:spacing w:before="0" w:after="0" w:lineRule="atLeast" w:line="225"/>
              <w:ind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 </w:t>
            </w:r>
          </w:p>
        </w:tc>
        <w:tc>
          <w:tcPr>
            <w:tcW w:w="4000" w:type="pct"/>
            <w:vAlign w:val="top"/>
          </w:tcPr>
          <w:p>
            <w:pPr>
              <w:keepNext/>
              <w:keepLines/>
              <w:spacing w:before="0" w:after="0" w:lineRule="atLeast" w:line="300"/>
              <w:ind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The Men's Clothing Stores industry experiences a low to moderate level of revenue volatility and there are several factors that affect the rate of growth in any given year.</w:t>
            </w:r>
          </w:p>
          <w:p>
            <w:pPr>
              <w:keepNext/>
              <w:keepLines/>
              <w:spacing w:before="0" w:after="0" w:lineRule="atLeast" w:line="225"/>
              <w:ind w:hanging="0"/>
              <w:jc w:val="left"/>
              <w:rPr>
                <w:rFonts w:ascii="arial" w:eastAsia="arial" w:hAnsi="arial" w:cs="arial"/>
                <w:b w:val="false"/>
                <w:bCs w:val="false"/>
                <w:i w:val="false"/>
                <w:sz w:val="16"/>
                <w:szCs w:val="16"/>
              </w:rPr>
            </w:pPr>
          </w:p>
          <w:p>
            <w:pPr>
              <w:keepNext/>
              <w:keepLines/>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Changes in per capita disposable income affect discretionary power and the relative affordability of clothing. Likewise, consumer confidence causes fluctuations in demand through consumer perceptions of overall economic security. Additionally, clothing prices will affect demand in any given year, changing total sales by retailers. Other factors such as competition from supercenters and online retailers affect industry revenue, as brick-and-mortar industry operators often have to lower prices to remain competitive. Industry revenue decreased as little as 1.7% in 2015 and as much as 15.7% in 2020 as a result of the negative impacts of the outbreak of COVID-19 (coronavirus). Revenue volatility is likely to remain relatively low in the coming years, as per capita disposable income increases and competition from online retailers heightens.</w:t>
            </w: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33" w:name="_Toc34"/>
            <w:r>
              <w:rPr>
                <w:rFonts w:ascii="arial" w:eastAsia="arial" w:hAnsi="arial" w:cs="arial"/>
                <w:b/>
                <w:bCs/>
                <w:i w:val="false"/>
                <w:color w:val="333333"/>
                <w:spacing w:val="4"/>
                <w:sz w:val="21"/>
                <w:szCs w:val="21"/>
              </w:rPr>
              <w:t>Regulation &amp; Policy</w:t>
            </w:r>
            <w:bookmarkEnd w:id="33"/>
          </w:p>
        </w:tc>
        <w:tc>
          <w:tcPr>
            <w:tcW w:w="4000" w:type="pct"/>
            <w:vAlign w:val="top"/>
          </w:tcPr>
          <w:p>
            <w:pPr>
              <w:keepNext/>
              <w:keepLines/>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 xml:space="preserve">The level of regulation is </w:t>
            </w:r>
            <w:r>
              <w:rPr>
                <w:rFonts w:ascii="arial" w:eastAsia="arial" w:hAnsi="arial" w:cs="arial"/>
                <w:b w:val="false"/>
                <w:bCs w:val="false"/>
                <w:i w:val="false"/>
                <w:sz w:val="16"/>
                <w:szCs w:val="16"/>
              </w:rPr>
              <w:t xml:space="preserve"> </w:t>
            </w:r>
            <w:r>
              <w:drawing>
                <wp:inline>
                  <wp:extent cx="91440" cy="91440"/>
                  <wp:docPr id="157" name="Picture 157" descr="Neutral"/>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PictureId64"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6"/>
                <w:szCs w:val="16"/>
              </w:rPr>
              <w:t xml:space="preserve">  </w:t>
            </w:r>
            <w:r>
              <w:rPr>
                <w:rFonts w:ascii="arial" w:eastAsia="arial" w:hAnsi="arial" w:cs="arial"/>
                <w:b/>
                <w:bCs/>
                <w:i w:val="false"/>
                <w:color w:val="F58232"/>
                <w:sz w:val="18"/>
                <w:szCs w:val="18"/>
              </w:rPr>
              <w:t xml:space="preserve">Medium </w:t>
            </w:r>
            <w:r>
              <w:rPr>
                <w:rFonts w:ascii="arial" w:eastAsia="arial" w:hAnsi="arial" w:cs="arial"/>
                <w:b/>
                <w:bCs/>
                <w:i w:val="false"/>
                <w:sz w:val="18"/>
                <w:szCs w:val="18"/>
              </w:rPr>
              <w:t>and the trend is Steady</w:t>
            </w:r>
          </w:p>
          <w:p>
            <w:pPr>
              <w:keepNext/>
              <w:keepLines/>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Regulations relevant to men's clothing stores vary by state.</w:t>
            </w:r>
          </w:p>
          <w:p>
            <w:pPr>
              <w:keepNext/>
              <w:keepLines/>
              <w:spacing w:before="0" w:after="0" w:lineRule="atLeast" w:line="225"/>
              <w:ind w:left="0" w:right="0" w:hanging="0"/>
              <w:jc w:val="left"/>
              <w:rPr>
                <w:rFonts w:ascii="arial" w:eastAsia="arial" w:hAnsi="arial" w:cs="arial"/>
                <w:b w:val="false"/>
                <w:bCs w:val="false"/>
                <w:i w:val="false"/>
                <w:sz w:val="16"/>
                <w:szCs w:val="16"/>
              </w:rPr>
            </w:pPr>
          </w:p>
          <w:p>
            <w:pPr>
              <w:keepNext/>
              <w:keepLines/>
              <w:spacing w:before="0" w:after="30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Congress and individual states enact trade regulations with the aim of maintaining a free and competitive economy. No industry-specific regulation, however, currently exists for the Men's Clothing Stores industry. The majority of industry regulation relates to wages and antitrust laws.</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Congress has passed the Sherman Act, the Wilson Act, the Clayton Act and the Robinson-Patman Act regarding unfair competition. Together these make up US federal antitrust law. The Sherman Act (1890) prohibits the formation of monopolies that hinder competition. The Wilson Act (1895) prohibits conspiracies that restrain import trade. The Clayton Act (1914) bans certain forms of price discrimination. Finally, the Robinson-Patman Act (1936) provides some protection to small independent retailers and their suppliers from unfair competition from vertically integrated, multilocation chain stores. States have enacted their own antitrust laws to ensure that the public is provided with the best prices, quality and competition among businesses, including men's clothing stores.</w:t>
            </w:r>
          </w:p>
          <w:p>
            <w:pPr>
              <w:keepNext/>
              <w:keepLines/>
              <w:spacing w:before="0" w:after="180" w:lineRule="atLeast" w:line="240"/>
              <w:ind w:left="0" w:right="0" w:hanging="0"/>
              <w:jc w:val="left"/>
              <w:rPr>
                <w:rFonts w:ascii="arial" w:eastAsia="arial" w:hAnsi="arial" w:cs="arial"/>
                <w:b w:val="false"/>
                <w:bCs w:val="false"/>
                <w:i w:val="false"/>
                <w:caps/>
                <w:sz w:val="16"/>
                <w:szCs w:val="16"/>
              </w:rPr>
            </w:pPr>
            <w:r>
              <w:rPr>
                <w:rFonts w:ascii="arial" w:eastAsia="arial" w:hAnsi="arial" w:cs="arial"/>
                <w:b/>
                <w:bCs/>
                <w:i w:val="false"/>
                <w:caps/>
                <w:sz w:val="18"/>
                <w:szCs w:val="18"/>
              </w:rPr>
              <w:t>COVID-19</w:t>
            </w:r>
          </w:p>
          <w:p>
            <w:pPr>
              <w:keepNext/>
              <w:keepLines/>
              <w:spacing w:before="0" w:after="0" w:lineRule="atLeast" w:line="300"/>
              <w:ind w:left="0" w:right="0"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Due to the outbreak of COVID-19 (coronavirus) in late 2019 and early 2020, social distancing measures and nonessential business closures were enacted by all states to varying degrees.</w:t>
            </w:r>
          </w:p>
          <w:p>
            <w:pPr>
              <w:keepNext/>
              <w:keepLines/>
              <w:spacing w:before="0" w:after="0" w:lineRule="atLeast" w:line="225"/>
              <w:ind w:left="0" w:right="0" w:hanging="0"/>
              <w:jc w:val="left"/>
              <w:rPr>
                <w:rFonts w:ascii="arial" w:eastAsia="arial" w:hAnsi="arial" w:cs="arial"/>
                <w:b w:val="false"/>
                <w:bCs w:val="false"/>
                <w:i w:val="false"/>
                <w:sz w:val="16"/>
                <w:szCs w:val="16"/>
              </w:rPr>
            </w:pPr>
          </w:p>
          <w:p>
            <w:pPr>
              <w:keepNext/>
              <w:keepLines/>
              <w:spacing w:before="0" w:after="24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Industry operators are considered non-essential and therefore, the majority of establishments were temporarily closed at the onset of the pandemic. However, most states have begun to re-open businesses and therefore, operators must ensure social distancing guidelines are maintained within their establishments by ensuring consumers and employees have ample space to maintain social distancing protocols (six feet apart). While the extent of these regulations varies depending on the state, with many easing restrictions in mid-2020, all operators have been affected. Adapting has involved delineating six-foot markers near registers in establishments, enforcing a face mask policy for customers and employees while in the establishment or limiting consumer counts for smaller or more heavily trafficked establishments.</w:t>
            </w:r>
          </w:p>
        </w:tc>
      </w:tr>
      <w:tr>
        <w:tc>
          <w:tcPr>
            <w:tcW w:w="4000" w:type="pct"/>
            <w:gridSpan w:val="2"/>
            <w:vAlign w:val="top"/>
          </w:tcPr>
          <w:p>
            <w:pPr>
              <w:keepNext/>
              <w:keepLines/>
              <w:spacing w:before="0" w:after="0" w:lineRule="atLeast" w:line="225"/>
              <w:ind w:hanging="0"/>
              <w:jc w:val="left"/>
              <w:rPr>
                <w:rFonts w:ascii="arial" w:eastAsia="arial" w:hAnsi="arial" w:cs="arial"/>
                <w:b w:val="false"/>
                <w:bCs w:val="false"/>
                <w:i w:val="false"/>
                <w:sz w:val="16"/>
                <w:szCs w:val="16"/>
              </w:rPr>
            </w:pPr>
          </w:p>
        </w:tc>
      </w:tr>
      <w:tr>
        <w:tc>
          <w:tcPr>
            <w:tcW w:w="1000" w:type="pct"/>
            <w:vAlign w:val="top"/>
          </w:tcPr>
          <w:p>
            <w:pPr>
              <w:pStyle w:val="heading 2"/>
              <w:keepNext/>
              <w:keepLines/>
              <w:spacing w:before="0" w:after="0" w:lineRule="atLeast" w:line="270"/>
              <w:ind w:left="0" w:right="0" w:hanging="0"/>
              <w:jc w:val="left"/>
              <w:rPr>
                <w:rFonts w:ascii="arial" w:eastAsia="arial" w:hAnsi="arial" w:cs="arial"/>
                <w:b/>
                <w:bCs/>
                <w:i w:val="false"/>
                <w:color w:val="333333"/>
                <w:spacing w:val="4"/>
                <w:sz w:val="21"/>
                <w:szCs w:val="21"/>
              </w:rPr>
            </w:pPr>
            <w:bookmarkStart w:id="34" w:name="_Toc35"/>
            <w:r>
              <w:rPr>
                <w:rFonts w:ascii="arial" w:eastAsia="arial" w:hAnsi="arial" w:cs="arial"/>
                <w:b/>
                <w:bCs/>
                <w:i w:val="false"/>
                <w:color w:val="333333"/>
                <w:spacing w:val="4"/>
                <w:sz w:val="21"/>
                <w:szCs w:val="21"/>
              </w:rPr>
              <w:t>Industry Assistance</w:t>
            </w:r>
            <w:bookmarkEnd w:id="34"/>
          </w:p>
        </w:tc>
        <w:tc>
          <w:tcPr>
            <w:tcW w:w="4000" w:type="pct"/>
            <w:vAlign w:val="top"/>
          </w:tcPr>
          <w:p>
            <w:pPr>
              <w:keepNext/>
              <w:keepLines/>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 xml:space="preserve">The level of industry assistance is </w:t>
            </w:r>
            <w:r>
              <w:rPr>
                <w:rFonts w:ascii="arial" w:eastAsia="arial" w:hAnsi="arial" w:cs="arial"/>
                <w:b w:val="false"/>
                <w:bCs w:val="false"/>
                <w:i w:val="false"/>
                <w:sz w:val="16"/>
                <w:szCs w:val="16"/>
              </w:rPr>
              <w:t xml:space="preserve"> </w:t>
            </w:r>
            <w:r>
              <w:drawing>
                <wp:inline>
                  <wp:extent cx="91440" cy="91440"/>
                  <wp:docPr id="159" name="Picture 159" descr="Bad"/>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PictureId66" cstate="print"/>
                          <a:stretch>
                            <a:fillRect/>
                          </a:stretch>
                        </pic:blipFill>
                        <pic:spPr>
                          <a:xfrm>
                            <a:off x="0" y="0"/>
                            <a:ext cx="91440" cy="91440"/>
                          </a:xfrm>
                          <a:prstGeom prst="rect">
                            <a:avLst/>
                          </a:prstGeom>
                        </pic:spPr>
                      </pic:pic>
                    </a:graphicData>
                  </a:graphic>
                </wp:inline>
              </w:drawing>
            </w:r>
            <w:r>
              <w:rPr>
                <w:rFonts w:ascii="arial" w:eastAsia="arial" w:hAnsi="arial" w:cs="arial"/>
                <w:b w:val="false"/>
                <w:bCs w:val="false"/>
                <w:i w:val="false"/>
                <w:sz w:val="16"/>
                <w:szCs w:val="16"/>
              </w:rPr>
              <w:t xml:space="preserve">  </w:t>
            </w:r>
            <w:r>
              <w:rPr>
                <w:rFonts w:ascii="arial" w:eastAsia="arial" w:hAnsi="arial" w:cs="arial"/>
                <w:b/>
                <w:bCs/>
                <w:i w:val="false"/>
                <w:color w:val="DB1F2C"/>
                <w:sz w:val="18"/>
                <w:szCs w:val="18"/>
              </w:rPr>
              <w:t xml:space="preserve">Low </w:t>
            </w:r>
            <w:r>
              <w:rPr>
                <w:rFonts w:ascii="arial" w:eastAsia="arial" w:hAnsi="arial" w:cs="arial"/>
                <w:b/>
                <w:bCs/>
                <w:i w:val="false"/>
                <w:sz w:val="18"/>
                <w:szCs w:val="18"/>
              </w:rPr>
              <w:t>and the trend is Steady</w:t>
            </w:r>
          </w:p>
          <w:p>
            <w:pPr>
              <w:keepNext/>
              <w:keepLines/>
              <w:spacing w:before="0" w:after="0" w:lineRule="atLeast" w:line="300"/>
              <w:ind w:hanging="0"/>
              <w:jc w:val="left"/>
              <w:rPr>
                <w:rFonts w:ascii="arial" w:eastAsia="arial" w:hAnsi="arial" w:cs="arial"/>
                <w:b/>
                <w:bCs/>
                <w:i w:val="false"/>
                <w:color w:val="7A1315"/>
                <w:sz w:val="24"/>
                <w:szCs w:val="24"/>
              </w:rPr>
            </w:pPr>
            <w:r>
              <w:rPr>
                <w:rFonts w:ascii="arial" w:eastAsia="arial" w:hAnsi="arial" w:cs="arial"/>
                <w:b/>
                <w:bCs/>
                <w:i w:val="false"/>
                <w:color w:val="7A1315"/>
                <w:sz w:val="24"/>
                <w:szCs w:val="24"/>
              </w:rPr>
              <w:t>The Men's Clothing Stores industry does not receive any special government assistance.</w:t>
            </w:r>
          </w:p>
          <w:p>
            <w:pPr>
              <w:keepNext/>
              <w:keepLines/>
              <w:spacing w:before="0" w:after="0" w:lineRule="atLeast" w:line="225"/>
              <w:ind w:hanging="0"/>
              <w:jc w:val="left"/>
              <w:rPr>
                <w:rFonts w:ascii="arial" w:eastAsia="arial" w:hAnsi="arial" w:cs="arial"/>
                <w:b w:val="false"/>
                <w:bCs w:val="false"/>
                <w:i w:val="false"/>
                <w:sz w:val="16"/>
                <w:szCs w:val="16"/>
              </w:rPr>
            </w:pP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Import quotas and tariffs are also not applicable to this industry, as they are imposed at the manufacturing level. There are several industry associations set up to aid growth and education within the retail sector. The National Retail Federation is the world's largest retail trade association and conducts programs and services in research, education, training, information technology and government affairs to protect and advance the interests of the retail industry.</w:t>
            </w:r>
          </w:p>
          <w:p>
            <w:pPr>
              <w:keepNext/>
              <w:keepLines/>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Several other associations exist that specialize in specific retail operations. For example, the American Apparel and Footwear Association (AAFA) is the national trade association representing apparel, footwear and other sewn products companies. AAFA's mission is to promote and enhance its members' competitiveness, productivity and profitability in the global market by minimizing trade restraints.</w:t>
            </w:r>
          </w:p>
          <w:p>
            <w:pPr>
              <w:keepNext/>
              <w:keepLines/>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Additionally, due to the outbreak of COVID-19 (coronavirus) and the negative effects for many individuals and businesses as a result of the pandemic, the federal government passed the Coronavirus Aid, Relief and Economic Security Act (CARES). Part of the $2.0 trillion stimulus package is the Paycheck Protection Program (PPP), which provides funding for eligible businesses that employ fewer than 500 individuals to receive funding in order to pay for rent and utilities, as well as keep employees on the payroll. As of August 8, 2020, the Retail Trade sector accounted for just over 7.7% of all approved PPP loans. Industry operators are part of the Retail Trade sector and therefore it is likely, especially among smaller operators, that the industry will benefit from increased federal funding in 2020.</w:t>
            </w:r>
          </w:p>
        </w:tc>
      </w:tr>
    </w:tbl>
    <w:p>
      <w:pPr>
        <w:sectPr>
          <w:headerReference w:type="default" r:id="gemHfRid89"/>
          <w:footerReference w:type="default" r:id="gemHfRid90"/>
          <w:pgSz w:w="11907" w:h="16839" w:code="9"/>
          <w:pgMar w:top="640" w:right="640" w:bottom="640" w:left="640" w:header="0" w:footer="0" w:gutter="0"/>
          <w:cols w:space="708"/>
          <w:docGrid w:linePitch="360"/>
        </w:sectPr>
      </w:pPr>
    </w:p>
    <w:p>
      <w:pPr>
        <w:pStyle w:val="heading 1"/>
        <w:spacing w:before="0" w:after="240" w:lineRule="atLeast" w:line="420"/>
        <w:ind w:left="0" w:right="0" w:hanging="0"/>
        <w:jc w:val="left"/>
        <w:rPr>
          <w:rFonts w:ascii="arial" w:eastAsia="arial" w:hAnsi="arial" w:cs="arial"/>
          <w:b w:val="false"/>
          <w:bCs w:val="false"/>
          <w:i w:val="false"/>
          <w:color w:val="333333"/>
          <w:sz w:val="36"/>
          <w:szCs w:val="36"/>
        </w:rPr>
      </w:pPr>
      <w:bookmarkStart w:id="35" w:name="_Toc36"/>
      <w:r>
        <w:rPr>
          <w:rFonts w:ascii="arial" w:eastAsia="arial" w:hAnsi="arial" w:cs="arial"/>
          <w:b w:val="false"/>
          <w:bCs w:val="false"/>
          <w:i w:val="false"/>
          <w:color w:val="333333"/>
          <w:sz w:val="36"/>
          <w:szCs w:val="36"/>
        </w:rPr>
        <w:t>Key Statistics</w:t>
      </w:r>
      <w:bookmarkEnd w:id="35"/>
    </w:p>
    <w:p>
      <w:pPr>
        <w:pStyle w:val="heading 2"/>
        <w:keepNext/>
        <w:spacing w:before="0" w:after="0" w:lineRule="atLeast" w:line="270"/>
        <w:ind w:left="0" w:right="0" w:hanging="0"/>
        <w:jc w:val="left"/>
        <w:rPr>
          <w:rFonts w:ascii="arial" w:eastAsia="arial" w:hAnsi="arial" w:cs="arial"/>
          <w:b/>
          <w:bCs/>
          <w:i w:val="false"/>
          <w:color w:val="333333"/>
          <w:spacing w:val="4"/>
          <w:sz w:val="21"/>
          <w:szCs w:val="21"/>
        </w:rPr>
      </w:pPr>
      <w:bookmarkStart w:id="36" w:name="_Toc37"/>
      <w:r>
        <w:rPr>
          <w:rFonts w:ascii="arial" w:eastAsia="arial" w:hAnsi="arial" w:cs="arial"/>
          <w:b/>
          <w:bCs/>
          <w:i w:val="false"/>
          <w:color w:val="333333"/>
          <w:spacing w:val="4"/>
          <w:sz w:val="21"/>
          <w:szCs w:val="21"/>
        </w:rPr>
        <w:t>Industry Data</w:t>
      </w:r>
      <w:bookmarkEnd w:id="36"/>
    </w:p>
    <w:tbl>
      <w:tblPr>
        <w:jc w:val="left"/>
        <w:tblCellSpacing w:w="0" w:type="dxa"/>
        <w:tblBorders>
          <w:top w:val="nil"/>
          <w:left w:val="nil"/>
          <w:bottom w:val="nil"/>
          <w:right w:val="nil"/>
          <w:insideH w:val="nil"/>
          <w:insideV w:val="nil"/>
        </w:tblBorders>
        <w:shd w:val="clear" w:fill="FAFAFA"/>
      </w:tblPr>
      <w:tr>
        <w:trPr>
          <w:tblHeader/>
        </w:trPr>
        <w:tc>
          <w:tcPr>
            <w:tcW w:w="81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Year</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Revenue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IVA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Establishments </w:t>
            </w:r>
            <w:r>
              <w:br/>
            </w:r>
            <w:r>
              <w:rPr>
                <w:rFonts w:ascii="arial" w:eastAsia="arial" w:hAnsi="arial" w:cs="arial"/>
                <w:b/>
                <w:bCs/>
                <w:i w:val="false"/>
                <w:sz w:val="15"/>
                <w:szCs w:val="15"/>
              </w:rPr>
              <w:t>(Units)</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Enterprises </w:t>
            </w:r>
            <w:r>
              <w:br/>
            </w:r>
            <w:r>
              <w:rPr>
                <w:rFonts w:ascii="arial" w:eastAsia="arial" w:hAnsi="arial" w:cs="arial"/>
                <w:b/>
                <w:bCs/>
                <w:i w:val="false"/>
                <w:sz w:val="15"/>
                <w:szCs w:val="15"/>
              </w:rPr>
              <w:t>(Units)</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Employment </w:t>
            </w:r>
            <w:r>
              <w:br/>
            </w:r>
            <w:r>
              <w:rPr>
                <w:rFonts w:ascii="arial" w:eastAsia="arial" w:hAnsi="arial" w:cs="arial"/>
                <w:b/>
                <w:bCs/>
                <w:i w:val="false"/>
                <w:sz w:val="15"/>
                <w:szCs w:val="15"/>
              </w:rPr>
              <w:t>(People)</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Exports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Imports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Wages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Domestic</w:t>
            </w:r>
            <w:r>
              <w:br/>
            </w:r>
            <w:r>
              <w:rPr>
                <w:rFonts w:ascii="arial" w:eastAsia="arial" w:hAnsi="arial" w:cs="arial"/>
                <w:b/>
                <w:bCs/>
                <w:i w:val="false"/>
                <w:sz w:val="15"/>
                <w:szCs w:val="15"/>
              </w:rPr>
              <w:t xml:space="preserve">Demand </w:t>
            </w:r>
            <w:r>
              <w:br/>
            </w:r>
            <w:r>
              <w:rPr>
                <w:rFonts w:ascii="arial" w:eastAsia="arial" w:hAnsi="arial" w:cs="arial"/>
                <w:b/>
                <w:bCs/>
                <w:i w:val="false"/>
                <w:sz w:val="15"/>
                <w:szCs w:val="15"/>
              </w:rPr>
              <w:t>($m)</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Per Capita Disposable Income ($)</w:t>
            </w:r>
          </w:p>
        </w:tc>
      </w:tr>
      <w:tr>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2011</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9,093</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2,054</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11,599</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8,118</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56,310</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1,545</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38,780</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9,389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2,494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12,265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8,401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63,591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1,828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39,784</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9,671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2,192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11,570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8,255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58,656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1,602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39,004</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9,715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2,066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11,948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8,620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61,502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1,658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40,310</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9,549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2,036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12,084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8,817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57,688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1,692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41,670</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9,113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1,884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12,015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8,729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57,439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1,647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42,108</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8,738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1,915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11,909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8,696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60,260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1,653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43,056</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8,437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1,860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11,582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8,532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56,822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1,641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44,521</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8,340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1,812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11,548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8,517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56,498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1,629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45,594</w:t>
            </w:r>
          </w:p>
        </w:tc>
      </w:tr>
      <w:tr>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2020</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7,033</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1,564</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10,784</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8,012</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50,322</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1,436</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44,844</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7,133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1,722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10,799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8,020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50,619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1,447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45,088</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7,121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1,670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10,717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7,958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50,282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1,438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45,784</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7,215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1,742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10,681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7,923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50,514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1,447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47,111</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7,307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1,736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10,646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7,890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50,753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1,457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48,575</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7,410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1,671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10,621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7,864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50,974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1,466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50,187</w:t>
            </w:r>
          </w:p>
        </w:tc>
      </w:tr>
    </w:tbl>
    <w:p>
      <w:pPr>
        <w:pStyle w:val="heading 2"/>
        <w:keepNext/>
        <w:spacing w:before="150" w:after="0" w:lineRule="atLeast" w:line="270"/>
        <w:ind w:left="0" w:right="0" w:hanging="0"/>
        <w:jc w:val="left"/>
        <w:rPr>
          <w:rFonts w:ascii="arial" w:eastAsia="arial" w:hAnsi="arial" w:cs="arial"/>
          <w:b/>
          <w:bCs/>
          <w:i w:val="false"/>
          <w:color w:val="333333"/>
          <w:spacing w:val="4"/>
          <w:sz w:val="21"/>
          <w:szCs w:val="21"/>
        </w:rPr>
      </w:pPr>
      <w:bookmarkStart w:id="37" w:name="_Toc38"/>
      <w:r>
        <w:rPr>
          <w:rFonts w:ascii="arial" w:eastAsia="arial" w:hAnsi="arial" w:cs="arial"/>
          <w:b/>
          <w:bCs/>
          <w:i w:val="false"/>
          <w:color w:val="333333"/>
          <w:spacing w:val="4"/>
          <w:sz w:val="21"/>
          <w:szCs w:val="21"/>
        </w:rPr>
        <w:t>Annual Change</w:t>
      </w:r>
      <w:bookmarkEnd w:id="37"/>
    </w:p>
    <w:tbl>
      <w:tblPr>
        <w:jc w:val="left"/>
        <w:tblCellSpacing w:w="0" w:type="dxa"/>
        <w:tblBorders>
          <w:top w:val="nil"/>
          <w:left w:val="nil"/>
          <w:bottom w:val="nil"/>
          <w:right w:val="nil"/>
          <w:insideH w:val="nil"/>
          <w:insideV w:val="nil"/>
        </w:tblBorders>
        <w:shd w:val="clear" w:fill="FAFAFA"/>
      </w:tblPr>
      <w:tr>
        <w:trPr>
          <w:tblHeader/>
        </w:trPr>
        <w:tc>
          <w:tcPr>
            <w:tcW w:w="81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Year</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Revenue </w:t>
            </w:r>
            <w:r>
              <w:br/>
            </w:r>
            <w:r>
              <w:rPr>
                <w:rFonts w:ascii="arial" w:eastAsia="arial" w:hAnsi="arial" w:cs="arial"/>
                <w:b/>
                <w:bCs/>
                <w:i w:val="false"/>
                <w:sz w:val="15"/>
                <w:szCs w:val="15"/>
              </w:rPr>
              <w:t>(%)</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IVA </w:t>
            </w:r>
            <w:r>
              <w:br/>
            </w:r>
            <w:r>
              <w:rPr>
                <w:rFonts w:ascii="arial" w:eastAsia="arial" w:hAnsi="arial" w:cs="arial"/>
                <w:b/>
                <w:bCs/>
                <w:i w:val="false"/>
                <w:sz w:val="15"/>
                <w:szCs w:val="15"/>
              </w:rPr>
              <w:t>(%)</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Establishments </w:t>
            </w:r>
            <w:r>
              <w:br/>
            </w:r>
            <w:r>
              <w:rPr>
                <w:rFonts w:ascii="arial" w:eastAsia="arial" w:hAnsi="arial" w:cs="arial"/>
                <w:b/>
                <w:bCs/>
                <w:i w:val="false"/>
                <w:sz w:val="15"/>
                <w:szCs w:val="15"/>
              </w:rPr>
              <w:t>(%)</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Enterprises </w:t>
            </w:r>
            <w:r>
              <w:br/>
            </w:r>
            <w:r>
              <w:rPr>
                <w:rFonts w:ascii="arial" w:eastAsia="arial" w:hAnsi="arial" w:cs="arial"/>
                <w:b/>
                <w:bCs/>
                <w:i w:val="false"/>
                <w:sz w:val="15"/>
                <w:szCs w:val="15"/>
              </w:rPr>
              <w:t>(%)</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Employment </w:t>
            </w:r>
            <w:r>
              <w:br/>
            </w:r>
            <w:r>
              <w:rPr>
                <w:rFonts w:ascii="arial" w:eastAsia="arial" w:hAnsi="arial" w:cs="arial"/>
                <w:b/>
                <w:bCs/>
                <w:i w:val="false"/>
                <w:sz w:val="15"/>
                <w:szCs w:val="15"/>
              </w:rPr>
              <w:t>(%)</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Exports </w:t>
            </w:r>
            <w:r>
              <w:br/>
            </w:r>
            <w:r>
              <w:rPr>
                <w:rFonts w:ascii="arial" w:eastAsia="arial" w:hAnsi="arial" w:cs="arial"/>
                <w:b/>
                <w:bCs/>
                <w:i w:val="false"/>
                <w:sz w:val="15"/>
                <w:szCs w:val="15"/>
              </w:rPr>
              <w:t>(%)</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Imports </w:t>
            </w:r>
            <w:r>
              <w:br/>
            </w:r>
            <w:r>
              <w:rPr>
                <w:rFonts w:ascii="arial" w:eastAsia="arial" w:hAnsi="arial" w:cs="arial"/>
                <w:b/>
                <w:bCs/>
                <w:i w:val="false"/>
                <w:sz w:val="15"/>
                <w:szCs w:val="15"/>
              </w:rPr>
              <w:t>(%)</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Wages </w:t>
            </w:r>
            <w:r>
              <w:br/>
            </w:r>
            <w:r>
              <w:rPr>
                <w:rFonts w:ascii="arial" w:eastAsia="arial" w:hAnsi="arial" w:cs="arial"/>
                <w:b/>
                <w:bCs/>
                <w:i w:val="false"/>
                <w:sz w:val="15"/>
                <w:szCs w:val="15"/>
              </w:rPr>
              <w:t>(%)</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Domestic</w:t>
            </w:r>
            <w:r>
              <w:br/>
            </w:r>
            <w:r>
              <w:rPr>
                <w:rFonts w:ascii="arial" w:eastAsia="arial" w:hAnsi="arial" w:cs="arial"/>
                <w:b/>
                <w:bCs/>
                <w:i w:val="false"/>
                <w:sz w:val="15"/>
                <w:szCs w:val="15"/>
              </w:rPr>
              <w:t xml:space="preserve">Demand </w:t>
            </w:r>
            <w:r>
              <w:br/>
            </w:r>
            <w:r>
              <w:rPr>
                <w:rFonts w:ascii="arial" w:eastAsia="arial" w:hAnsi="arial" w:cs="arial"/>
                <w:b/>
                <w:bCs/>
                <w:i w:val="false"/>
                <w:sz w:val="15"/>
                <w:szCs w:val="15"/>
              </w:rPr>
              <w:t>(%)</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Per Capita Disposable Income (%)</w:t>
            </w:r>
          </w:p>
        </w:tc>
      </w:tr>
      <w:tr>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2011</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5.68</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-0.94</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0.77</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-2.56</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4.02</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4.39</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1.61</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3.26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21.4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5.74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3.48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12.9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2.58</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3.00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-12.1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-5.67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-7.77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-12.4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-1.97</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0.44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-5.75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3.26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4.42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4.85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3.50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3.34</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2.28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-6.21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3.37</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-4.58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-7.48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-0.58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-0.44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-2.68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1.05</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-4.12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-0.89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-0.38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4.91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0.37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2.25</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-3.44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-2.75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-5.71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-0.75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3.40</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-2.57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-0.30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-0.18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-0.58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-0.69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2.40</w:t>
            </w:r>
          </w:p>
        </w:tc>
      </w:tr>
      <w:tr>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2020</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-15.7</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-13.7</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-6.62</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-5.93</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-10.9</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-11.9</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-1.65</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0.13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0.09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0.59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0.75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0.54</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-0.17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-3.05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-0.76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-0.78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-0.67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-0.57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1.54</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1.30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4.33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-0.34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-0.44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0.46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0.62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2.89</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1.28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-0.37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-0.33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-0.42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0.47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0.64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3.10</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-3.74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-0.24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-0.33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0.43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0.62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3.31</w:t>
            </w:r>
          </w:p>
        </w:tc>
      </w:tr>
    </w:tbl>
    <w:p>
      <w:pPr>
        <w:pStyle w:val="heading 2"/>
        <w:keepNext/>
        <w:spacing w:before="150" w:after="0" w:lineRule="atLeast" w:line="270"/>
        <w:ind w:left="0" w:right="0" w:hanging="0"/>
        <w:jc w:val="left"/>
        <w:rPr>
          <w:rFonts w:ascii="arial" w:eastAsia="arial" w:hAnsi="arial" w:cs="arial"/>
          <w:b/>
          <w:bCs/>
          <w:i w:val="false"/>
          <w:color w:val="333333"/>
          <w:spacing w:val="4"/>
          <w:sz w:val="21"/>
          <w:szCs w:val="21"/>
        </w:rPr>
      </w:pPr>
      <w:bookmarkStart w:id="38" w:name="_Toc39"/>
      <w:r>
        <w:rPr>
          <w:rFonts w:ascii="arial" w:eastAsia="arial" w:hAnsi="arial" w:cs="arial"/>
          <w:b/>
          <w:bCs/>
          <w:i w:val="false"/>
          <w:color w:val="333333"/>
          <w:spacing w:val="4"/>
          <w:sz w:val="21"/>
          <w:szCs w:val="21"/>
        </w:rPr>
        <w:t>Key Ratios</w:t>
      </w:r>
      <w:bookmarkEnd w:id="38"/>
    </w:p>
    <w:tbl>
      <w:tblPr>
        <w:jc w:val="left"/>
        <w:tblCellSpacing w:w="0" w:type="dxa"/>
        <w:tblBorders>
          <w:top w:val="nil"/>
          <w:left w:val="nil"/>
          <w:bottom w:val="nil"/>
          <w:right w:val="nil"/>
          <w:insideH w:val="nil"/>
          <w:insideV w:val="nil"/>
        </w:tblBorders>
        <w:shd w:val="clear" w:fill="FAFAFA"/>
      </w:tblPr>
      <w:tr>
        <w:trPr>
          <w:tblHeader/>
        </w:trPr>
        <w:tc>
          <w:tcPr>
            <w:tcW w:w="81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Year</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 xml:space="preserve">IVA/Revenue </w:t>
            </w:r>
            <w:r>
              <w:br/>
            </w:r>
            <w:r>
              <w:rPr>
                <w:rFonts w:ascii="arial" w:eastAsia="arial" w:hAnsi="arial" w:cs="arial"/>
                <w:b/>
                <w:bCs/>
                <w:i w:val="false"/>
                <w:sz w:val="15"/>
                <w:szCs w:val="15"/>
              </w:rPr>
              <w:t>(%)</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Imports/</w:t>
            </w:r>
            <w:r>
              <w:br/>
            </w:r>
            <w:r>
              <w:rPr>
                <w:rFonts w:ascii="arial" w:eastAsia="arial" w:hAnsi="arial" w:cs="arial"/>
                <w:b/>
                <w:bCs/>
                <w:i w:val="false"/>
                <w:sz w:val="15"/>
                <w:szCs w:val="15"/>
              </w:rPr>
              <w:t xml:space="preserve">Demand </w:t>
            </w:r>
            <w:r>
              <w:br/>
            </w:r>
            <w:r>
              <w:rPr>
                <w:rFonts w:ascii="arial" w:eastAsia="arial" w:hAnsi="arial" w:cs="arial"/>
                <w:b/>
                <w:bCs/>
                <w:i w:val="false"/>
                <w:sz w:val="15"/>
                <w:szCs w:val="15"/>
              </w:rPr>
              <w:t>(%)</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Exports/</w:t>
            </w:r>
            <w:r>
              <w:br/>
            </w:r>
            <w:r>
              <w:rPr>
                <w:rFonts w:ascii="arial" w:eastAsia="arial" w:hAnsi="arial" w:cs="arial"/>
                <w:b/>
                <w:bCs/>
                <w:i w:val="false"/>
                <w:sz w:val="15"/>
                <w:szCs w:val="15"/>
              </w:rPr>
              <w:t xml:space="preserve">Revenue </w:t>
            </w:r>
            <w:r>
              <w:br/>
            </w:r>
            <w:r>
              <w:rPr>
                <w:rFonts w:ascii="arial" w:eastAsia="arial" w:hAnsi="arial" w:cs="arial"/>
                <w:b/>
                <w:bCs/>
                <w:i w:val="false"/>
                <w:sz w:val="15"/>
                <w:szCs w:val="15"/>
              </w:rPr>
              <w:t>(%)</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Revenue per</w:t>
            </w:r>
            <w:r>
              <w:br/>
            </w:r>
            <w:r>
              <w:rPr>
                <w:rFonts w:ascii="arial" w:eastAsia="arial" w:hAnsi="arial" w:cs="arial"/>
                <w:b/>
                <w:bCs/>
                <w:i w:val="false"/>
                <w:sz w:val="15"/>
                <w:szCs w:val="15"/>
              </w:rPr>
              <w:t xml:space="preserve">Employee </w:t>
            </w:r>
            <w:r>
              <w:br/>
            </w:r>
            <w:r>
              <w:rPr>
                <w:rFonts w:ascii="arial" w:eastAsia="arial" w:hAnsi="arial" w:cs="arial"/>
                <w:b/>
                <w:bCs/>
                <w:i w:val="false"/>
                <w:sz w:val="15"/>
                <w:szCs w:val="15"/>
              </w:rPr>
              <w:t>($'000)</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Wages/</w:t>
            </w:r>
            <w:r>
              <w:br/>
            </w:r>
            <w:r>
              <w:rPr>
                <w:rFonts w:ascii="arial" w:eastAsia="arial" w:hAnsi="arial" w:cs="arial"/>
                <w:b/>
                <w:bCs/>
                <w:i w:val="false"/>
                <w:sz w:val="15"/>
                <w:szCs w:val="15"/>
              </w:rPr>
              <w:t xml:space="preserve">Revenue </w:t>
            </w:r>
            <w:r>
              <w:br/>
            </w:r>
            <w:r>
              <w:rPr>
                <w:rFonts w:ascii="arial" w:eastAsia="arial" w:hAnsi="arial" w:cs="arial"/>
                <w:b/>
                <w:bCs/>
                <w:i w:val="false"/>
                <w:sz w:val="15"/>
                <w:szCs w:val="15"/>
              </w:rPr>
              <w:t>(%)</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Employees per</w:t>
            </w:r>
            <w:r>
              <w:br/>
            </w:r>
            <w:r>
              <w:rPr>
                <w:rFonts w:ascii="arial" w:eastAsia="arial" w:hAnsi="arial" w:cs="arial"/>
                <w:b/>
                <w:bCs/>
                <w:i w:val="false"/>
                <w:sz w:val="15"/>
                <w:szCs w:val="15"/>
              </w:rPr>
              <w:t xml:space="preserve">estab. </w:t>
            </w:r>
            <w:r>
              <w:br/>
            </w:r>
            <w:r>
              <w:rPr>
                <w:rFonts w:ascii="arial" w:eastAsia="arial" w:hAnsi="arial" w:cs="arial"/>
                <w:b/>
                <w:bCs/>
                <w:i w:val="false"/>
                <w:sz w:val="15"/>
                <w:szCs w:val="15"/>
              </w:rPr>
              <w:t>(Units)</w:t>
            </w:r>
          </w:p>
        </w:tc>
        <w:tc>
          <w:tcPr>
            <w:tcW w:w="1350" w:type="dxa"/>
            <w:shd w:val="clear" w:fill="FAFAFA"/>
            <w:tcMar>
              <w:top w:w="30" w:type="dxa"/>
              <w:left w:w="0" w:type="dxa"/>
              <w:bottom w:w="0" w:type="dxa"/>
              <w:right w:w="0" w:type="dxa"/>
            </w:tcMar>
            <w:vAlign w:val="bottom"/>
          </w:tcPr>
          <w:p>
            <w:pPr>
              <w:keepNext/>
              <w:keepLines/>
              <w:shd w:val="clear" w:fill="FAFAFA"/>
              <w:spacing w:before="30" w:after="0" w:lineRule="auto" w:line="288"/>
              <w:ind w:hanging="0"/>
              <w:jc w:val="right"/>
              <w:rPr>
                <w:rFonts w:ascii="arial" w:eastAsia="arial" w:hAnsi="arial" w:cs="arial"/>
                <w:b/>
                <w:bCs/>
                <w:i w:val="false"/>
                <w:sz w:val="15"/>
                <w:szCs w:val="15"/>
              </w:rPr>
            </w:pPr>
            <w:r>
              <w:rPr>
                <w:rFonts w:ascii="arial" w:eastAsia="arial" w:hAnsi="arial" w:cs="arial"/>
                <w:b/>
                <w:bCs/>
                <w:i w:val="false"/>
                <w:sz w:val="15"/>
                <w:szCs w:val="15"/>
              </w:rPr>
              <w:t>Average Wage  ($)</w:t>
            </w:r>
          </w:p>
        </w:tc>
      </w:tr>
      <w:tr>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2011</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22.6</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161</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17.0</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4.85</w:t>
            </w:r>
          </w:p>
        </w:tc>
        <w:tc>
          <w:tcPr>
            <w:tcBorders>
              <w:top w:val="single" w:sz="6" w:color="D07368"/>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27,439</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26.6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19.5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5.18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28,738</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22.7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27,305</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21.3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158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5.15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26,954</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21.3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4.77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29,328</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159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4.78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28,667</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21.9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27,428</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22.0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19.4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4.91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28,871</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21.7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19.5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4.89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28,836</w:t>
            </w:r>
          </w:p>
        </w:tc>
      </w:tr>
      <w:tr>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2020</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22.2</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140</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20.4</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4.67</w:t>
            </w:r>
          </w:p>
        </w:tc>
        <w:tc>
          <w:tcPr>
            <w:tcBorders>
              <w:bottom w:val="single" w:sz="6" w:color="D8DDEA"/>
            </w:tcBorders>
            <w:shd w:val="clear" w:fill="D8DDE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28,530</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24.1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4.69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28,578</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23.4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4.69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28,607</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24.1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20.1</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4.73</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28,653</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23.8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144</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19.9</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4.77</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28,702</w:t>
            </w:r>
          </w:p>
        </w:tc>
      </w:tr>
      <w:tr>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2025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22.6</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145</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19.8</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4.80</w:t>
            </w:r>
          </w:p>
        </w:tc>
        <w:tc>
          <w:tcPr>
            <w:tcBorders>
              <w:bottom w:val="single" w:sz="6" w:color="D8DDEA"/>
            </w:tcBorders>
            <w:shd w:val="clear" w:fill="FAFAFA"/>
            <w:tcMar>
              <w:top w:w="15" w:type="dxa"/>
              <w:left w:w="0" w:type="dxa"/>
              <w:bottom w:w="15" w:type="dxa"/>
              <w:right w:w="0" w:type="dxa"/>
            </w:tcMar>
            <w:vAlign w:val="center"/>
          </w:tcPr>
          <w:p>
            <w:pPr>
              <w:keepNext/>
              <w:keepLines/>
              <w:spacing w:before="0" w:after="0" w:lineRule="atLeast" w:line="165"/>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28,756</w:t>
            </w:r>
          </w:p>
        </w:tc>
      </w:tr>
    </w:tbl>
    <w:p>
      <w:pPr>
        <w:pStyle w:val="heading 2"/>
        <w:keepNext/>
        <w:pageBreakBefore/>
        <w:spacing w:before="0" w:after="0" w:lineRule="atLeast" w:line="270"/>
        <w:ind w:left="0" w:right="0" w:hanging="0"/>
        <w:jc w:val="left"/>
        <w:rPr>
          <w:rFonts w:ascii="arial" w:eastAsia="arial" w:hAnsi="arial" w:cs="arial"/>
          <w:b/>
          <w:bCs/>
          <w:i w:val="false"/>
          <w:color w:val="333333"/>
          <w:spacing w:val="4"/>
          <w:sz w:val="21"/>
          <w:szCs w:val="21"/>
        </w:rPr>
      </w:pPr>
      <w:bookmarkStart w:id="39" w:name="_Toc40"/>
      <w:r>
        <w:rPr>
          <w:rFonts w:ascii="arial" w:eastAsia="arial" w:hAnsi="arial" w:cs="arial"/>
          <w:b/>
          <w:bCs/>
          <w:i w:val="false"/>
          <w:color w:val="333333"/>
          <w:spacing w:val="4"/>
          <w:sz w:val="21"/>
          <w:szCs w:val="21"/>
        </w:rPr>
        <w:t>Industry Financial Ratios</w:t>
      </w:r>
      <w:bookmarkEnd w:id="39"/>
    </w:p>
    <w:tbl>
      <w:tblPr>
        <w:tblW w:w="5000" w:type="pct"/>
        <w:jc w:val="left"/>
        <w:tblBorders>
          <w:top w:val="nil"/>
          <w:left w:val="nil"/>
          <w:bottom w:val="nil"/>
          <w:right w:val="nil"/>
          <w:insideH w:val="nil"/>
          <w:insideV w:val="nil"/>
        </w:tblBorders>
      </w:tblPr>
      <w:tr>
        <w:tc>
          <w:tcPr>
            <w:vAlign w:val="top"/>
          </w:tcPr>
          <w:tbl>
            <w:tblPr>
              <w:tblW w:w="5000" w:type="pct"/>
              <w:jc w:val="left"/>
              <w:tblBorders>
                <w:top w:val="nil"/>
                <w:left w:val="nil"/>
                <w:bottom w:val="nil"/>
                <w:right w:val="nil"/>
                <w:insideH w:val="nil"/>
                <w:insideV w:val="nil"/>
              </w:tblBorders>
            </w:tblPr>
            <w:tr>
              <w:trPr>
                <w:tblHeader/>
              </w:trPr>
              <w:tc>
                <w:tcPr>
                  <w:tcW w:w="1500" w:type="pct"/>
                  <w:tcMar>
                    <w:top w:w="30" w:type="dxa"/>
                    <w:left w:w="0" w:type="dxa"/>
                    <w:bottom w:w="0" w:type="dxa"/>
                    <w:right w:w="0" w:type="dxa"/>
                  </w:tcMar>
                  <w:vAlign w:val="bottom"/>
                </w:tcPr>
                <w:p>
                  <w:pPr>
                    <w:keepNext/>
                    <w:keepLines/>
                    <w:spacing w:before="30" w:after="0" w:lineRule="atLeast" w:line="150"/>
                    <w:ind w:hanging="0"/>
                    <w:jc w:val="lef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gridSpan w:val="3"/>
                  <w:shd w:val="clear" w:fill="EFEFF2"/>
                  <w:tcMar>
                    <w:top w:w="30" w:type="dxa"/>
                    <w:left w:w="0" w:type="dxa"/>
                    <w:bottom w:w="0" w:type="dxa"/>
                    <w:right w:w="0" w:type="dxa"/>
                  </w:tcMar>
                  <w:vAlign w:val="bottom"/>
                </w:tcPr>
                <w:p>
                  <w:pPr>
                    <w:keepNext/>
                    <w:keepLines/>
                    <w:shd w:val="clear" w:fill="EFEFF2"/>
                    <w:spacing w:before="30" w:after="0" w:lineRule="atLeast" w:line="150"/>
                    <w:ind w:hanging="0"/>
                    <w:jc w:val="center"/>
                    <w:rPr>
                      <w:rFonts w:ascii="arial" w:eastAsia="arial" w:hAnsi="arial" w:cs="arial"/>
                      <w:b/>
                      <w:bCs/>
                      <w:i w:val="false"/>
                      <w:spacing w:val="6"/>
                      <w:sz w:val="14"/>
                      <w:szCs w:val="14"/>
                    </w:rPr>
                  </w:pPr>
                  <w:r>
                    <w:rPr>
                      <w:rFonts w:ascii="arial" w:eastAsia="arial" w:hAnsi="arial" w:cs="arial"/>
                      <w:b/>
                      <w:bCs/>
                      <w:i w:val="false"/>
                      <w:spacing w:val="6"/>
                      <w:sz w:val="14"/>
                      <w:szCs w:val="14"/>
                    </w:rPr>
                    <w:t>April 2019 - March 2020</w:t>
                  </w:r>
                  <w:r>
                    <w:br/>
                  </w:r>
                  <w:r>
                    <w:rPr>
                      <w:rFonts w:ascii="arial" w:eastAsia="arial" w:hAnsi="arial" w:cs="arial"/>
                      <w:b/>
                      <w:bCs/>
                      <w:i w:val="false"/>
                      <w:spacing w:val="6"/>
                      <w:sz w:val="14"/>
                      <w:szCs w:val="14"/>
                    </w:rPr>
                    <w:t>by company revenue</w:t>
                  </w:r>
                </w:p>
              </w:tc>
            </w:tr>
            <w:tr>
              <w:trPr>
                <w:tblHeader/>
              </w:trPr>
              <w:tc>
                <w:tcPr>
                  <w:tcW w:w="1500" w:type="pct"/>
                  <w:tcMar>
                    <w:top w:w="30" w:type="dxa"/>
                    <w:left w:w="0" w:type="dxa"/>
                    <w:bottom w:w="0" w:type="dxa"/>
                    <w:right w:w="0" w:type="dxa"/>
                  </w:tcMar>
                  <w:vAlign w:val="bottom"/>
                </w:tcPr>
                <w:p>
                  <w:pPr>
                    <w:pStyle w:val="heading 5"/>
                    <w:keepNext/>
                    <w:keepLines/>
                    <w:spacing w:before="30" w:after="0" w:lineRule="atLeast" w:line="150"/>
                    <w:ind w:left="0" w:right="0" w:hanging="0"/>
                    <w:jc w:val="left"/>
                    <w:rPr>
                      <w:rFonts w:ascii="arial" w:eastAsia="arial" w:hAnsi="arial" w:cs="arial"/>
                      <w:b/>
                      <w:bCs/>
                      <w:i w:val="false"/>
                      <w:color w:val="000000"/>
                      <w:spacing w:val="6"/>
                      <w:sz w:val="16"/>
                      <w:szCs w:val="16"/>
                    </w:rPr>
                  </w:pPr>
                  <w:r>
                    <w:rPr>
                      <w:rFonts w:ascii="arial" w:eastAsia="arial" w:hAnsi="arial" w:cs="arial"/>
                      <w:b/>
                      <w:bCs/>
                      <w:i w:val="false"/>
                      <w:color w:val="000000"/>
                      <w:spacing w:val="6"/>
                      <w:sz w:val="16"/>
                      <w:szCs w:val="16"/>
                    </w:rPr>
                    <w:t>Liquidity Ratios</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Apr 16 -</w:t>
                  </w:r>
                  <w:r>
                    <w:br/>
                  </w:r>
                  <w:r>
                    <w:rPr>
                      <w:rFonts w:ascii="arial" w:eastAsia="arial" w:hAnsi="arial" w:cs="arial"/>
                      <w:b/>
                      <w:bCs/>
                      <w:i w:val="false"/>
                      <w:spacing w:val="6"/>
                      <w:sz w:val="14"/>
                      <w:szCs w:val="14"/>
                    </w:rPr>
                    <w:t>Mar 17</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Apr 17 -</w:t>
                  </w:r>
                  <w:r>
                    <w:br/>
                  </w:r>
                  <w:r>
                    <w:rPr>
                      <w:rFonts w:ascii="arial" w:eastAsia="arial" w:hAnsi="arial" w:cs="arial"/>
                      <w:b/>
                      <w:bCs/>
                      <w:i w:val="false"/>
                      <w:spacing w:val="6"/>
                      <w:sz w:val="14"/>
                      <w:szCs w:val="14"/>
                    </w:rPr>
                    <w:t>Mar 18</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Apr 18 -</w:t>
                  </w:r>
                  <w:r>
                    <w:br/>
                  </w:r>
                  <w:r>
                    <w:rPr>
                      <w:rFonts w:ascii="arial" w:eastAsia="arial" w:hAnsi="arial" w:cs="arial"/>
                      <w:b/>
                      <w:bCs/>
                      <w:i w:val="false"/>
                      <w:spacing w:val="6"/>
                      <w:sz w:val="14"/>
                      <w:szCs w:val="14"/>
                    </w:rPr>
                    <w:t>Mar 19</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Apr 19 -</w:t>
                  </w:r>
                  <w:r>
                    <w:br/>
                  </w:r>
                  <w:r>
                    <w:rPr>
                      <w:rFonts w:ascii="arial" w:eastAsia="arial" w:hAnsi="arial" w:cs="arial"/>
                      <w:b/>
                      <w:bCs/>
                      <w:i w:val="false"/>
                      <w:spacing w:val="6"/>
                      <w:sz w:val="14"/>
                      <w:szCs w:val="14"/>
                    </w:rPr>
                    <w:t>Mar 20</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Small</w:t>
                  </w:r>
                  <w:r>
                    <w:br/>
                  </w:r>
                  <w:r>
                    <w:rPr>
                      <w:rFonts w:ascii="arial" w:eastAsia="arial" w:hAnsi="arial" w:cs="arial"/>
                      <w:b/>
                      <w:bCs/>
                      <w:i w:val="false"/>
                      <w:spacing w:val="6"/>
                      <w:sz w:val="14"/>
                      <w:szCs w:val="14"/>
                    </w:rPr>
                    <w:t>(&lt;$10m)</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Medium</w:t>
                  </w:r>
                  <w:r>
                    <w:br/>
                  </w:r>
                  <w:r>
                    <w:rPr>
                      <w:rFonts w:ascii="arial" w:eastAsia="arial" w:hAnsi="arial" w:cs="arial"/>
                      <w:b/>
                      <w:bCs/>
                      <w:i w:val="false"/>
                      <w:spacing w:val="6"/>
                      <w:sz w:val="14"/>
                      <w:szCs w:val="14"/>
                    </w:rPr>
                    <w:t>($10-$50m)</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Large</w:t>
                  </w:r>
                  <w:r>
                    <w:br/>
                  </w:r>
                  <w:r>
                    <w:rPr>
                      <w:rFonts w:ascii="arial" w:eastAsia="arial" w:hAnsi="arial" w:cs="arial"/>
                      <w:b/>
                      <w:bCs/>
                      <w:i w:val="false"/>
                      <w:spacing w:val="6"/>
                      <w:sz w:val="14"/>
                      <w:szCs w:val="14"/>
                    </w:rPr>
                    <w:t>(&gt;$50m)</w:t>
                  </w:r>
                </w:p>
              </w:tc>
            </w:tr>
            <w:tr>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Current Ratio</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1.3</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1.9</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Quick Ratio</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0.3</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0.3</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0.4</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0.3</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0.3</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Sales / Receivables (Trade Receivables Turnover)</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68.0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410.0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237.2</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421.4</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N/C</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Days' Receivables</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5.4</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0.9</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1.5</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0.9</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Cost of Sales / Inventory (Inventory Turnover)</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2.5</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3.1</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2.6</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2.2</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Days' Inventory</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121.7</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146.0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117.7</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140.4</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165.9</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Cost of Sales / Payables (Payables Turnover)</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9.3</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10.5</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9.1</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8.8</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8.8</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Days' Payables</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39.2</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34.8</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40.1</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41.5</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41.5</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Sales / Working Capital</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12.6</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15.9</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8.7</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8.4</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bl>
          <w:p>
            <w:pPr>
              <w:keepNext/>
              <w:keepLines/>
              <w:spacing w:before="0" w:after="0"/>
              <w:rPr>
                <w:vanish/>
              </w:rPr>
            </w:pPr>
          </w:p>
          <w:tbl>
            <w:tblPr>
              <w:tblW w:w="5000" w:type="pct"/>
              <w:jc w:val="left"/>
              <w:tblBorders>
                <w:top w:val="nil"/>
                <w:left w:val="nil"/>
                <w:bottom w:val="nil"/>
                <w:right w:val="nil"/>
                <w:insideH w:val="nil"/>
                <w:insideV w:val="nil"/>
              </w:tblBorders>
            </w:tblPr>
            <w:tr>
              <w:trPr>
                <w:tblHeader/>
              </w:trPr>
              <w:tc>
                <w:tcPr>
                  <w:tcW w:w="1500" w:type="pct"/>
                  <w:tcMar>
                    <w:top w:w="30" w:type="dxa"/>
                    <w:left w:w="0" w:type="dxa"/>
                    <w:bottom w:w="0" w:type="dxa"/>
                    <w:right w:w="0" w:type="dxa"/>
                  </w:tcMar>
                  <w:vAlign w:val="bottom"/>
                </w:tcPr>
                <w:p>
                  <w:pPr>
                    <w:pStyle w:val="heading 5"/>
                    <w:keepNext/>
                    <w:keepLines/>
                    <w:spacing w:before="30" w:after="0" w:lineRule="atLeast" w:line="150"/>
                    <w:ind w:left="0" w:right="0" w:hanging="0"/>
                    <w:jc w:val="left"/>
                    <w:rPr>
                      <w:rFonts w:ascii="arial" w:eastAsia="arial" w:hAnsi="arial" w:cs="arial"/>
                      <w:b/>
                      <w:bCs/>
                      <w:i w:val="false"/>
                      <w:color w:val="000000"/>
                      <w:spacing w:val="6"/>
                      <w:sz w:val="16"/>
                      <w:szCs w:val="16"/>
                    </w:rPr>
                  </w:pPr>
                  <w:r>
                    <w:rPr>
                      <w:rFonts w:ascii="arial" w:eastAsia="arial" w:hAnsi="arial" w:cs="arial"/>
                      <w:b/>
                      <w:bCs/>
                      <w:i w:val="false"/>
                      <w:color w:val="000000"/>
                      <w:spacing w:val="6"/>
                      <w:sz w:val="16"/>
                      <w:szCs w:val="16"/>
                    </w:rPr>
                    <w:t>Coverage Ratios</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r>
            <w:tr>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Earnings Before Interest &amp; Taxes (EBIT) / Interest</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3.2</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2.6</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4.7</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1.9</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Net Profit + Dep., Depletion, Amort. / Current Maturities LT Debt</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bl>
          <w:p>
            <w:pPr>
              <w:keepNext/>
              <w:keepLines/>
              <w:spacing w:before="0" w:after="0"/>
              <w:rPr>
                <w:vanish/>
              </w:rPr>
            </w:pPr>
          </w:p>
          <w:tbl>
            <w:tblPr>
              <w:tblW w:w="5000" w:type="pct"/>
              <w:jc w:val="left"/>
              <w:tblBorders>
                <w:top w:val="nil"/>
                <w:left w:val="nil"/>
                <w:bottom w:val="nil"/>
                <w:right w:val="nil"/>
                <w:insideH w:val="nil"/>
                <w:insideV w:val="nil"/>
              </w:tblBorders>
            </w:tblPr>
            <w:tr>
              <w:trPr>
                <w:tblHeader/>
              </w:trPr>
              <w:tc>
                <w:tcPr>
                  <w:tcW w:w="1500" w:type="pct"/>
                  <w:tcMar>
                    <w:top w:w="30" w:type="dxa"/>
                    <w:left w:w="0" w:type="dxa"/>
                    <w:bottom w:w="0" w:type="dxa"/>
                    <w:right w:w="0" w:type="dxa"/>
                  </w:tcMar>
                  <w:vAlign w:val="bottom"/>
                </w:tcPr>
                <w:p>
                  <w:pPr>
                    <w:pStyle w:val="heading 5"/>
                    <w:keepNext/>
                    <w:keepLines/>
                    <w:spacing w:before="30" w:after="0" w:lineRule="atLeast" w:line="150"/>
                    <w:ind w:left="0" w:right="0" w:hanging="0"/>
                    <w:jc w:val="left"/>
                    <w:rPr>
                      <w:rFonts w:ascii="arial" w:eastAsia="arial" w:hAnsi="arial" w:cs="arial"/>
                      <w:b/>
                      <w:bCs/>
                      <w:i w:val="false"/>
                      <w:color w:val="000000"/>
                      <w:spacing w:val="6"/>
                      <w:sz w:val="16"/>
                      <w:szCs w:val="16"/>
                    </w:rPr>
                  </w:pPr>
                  <w:r>
                    <w:rPr>
                      <w:rFonts w:ascii="arial" w:eastAsia="arial" w:hAnsi="arial" w:cs="arial"/>
                      <w:b/>
                      <w:bCs/>
                      <w:i w:val="false"/>
                      <w:color w:val="000000"/>
                      <w:spacing w:val="6"/>
                      <w:sz w:val="16"/>
                      <w:szCs w:val="16"/>
                    </w:rPr>
                    <w:t>Leverage Ratios</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r>
            <w:tr>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Fixed Assets / Net Worth</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0.6</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0.5</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0.3</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0.1</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0.1</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Debt / Net Worth</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2.5</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Tangible Net Worth</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7.5</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25.8</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21.0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27.1</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33.5</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bl>
          <w:p>
            <w:pPr>
              <w:keepNext/>
              <w:keepLines/>
              <w:spacing w:before="0" w:after="0"/>
              <w:rPr>
                <w:vanish/>
              </w:rPr>
            </w:pPr>
          </w:p>
          <w:tbl>
            <w:tblPr>
              <w:tblW w:w="5000" w:type="pct"/>
              <w:jc w:val="left"/>
              <w:tblBorders>
                <w:top w:val="nil"/>
                <w:left w:val="nil"/>
                <w:bottom w:val="nil"/>
                <w:right w:val="nil"/>
                <w:insideH w:val="nil"/>
                <w:insideV w:val="nil"/>
              </w:tblBorders>
            </w:tblPr>
            <w:tr>
              <w:trPr>
                <w:tblHeader/>
              </w:trPr>
              <w:tc>
                <w:tcPr>
                  <w:tcW w:w="1500" w:type="pct"/>
                  <w:tcMar>
                    <w:top w:w="30" w:type="dxa"/>
                    <w:left w:w="0" w:type="dxa"/>
                    <w:bottom w:w="0" w:type="dxa"/>
                    <w:right w:w="0" w:type="dxa"/>
                  </w:tcMar>
                  <w:vAlign w:val="bottom"/>
                </w:tcPr>
                <w:p>
                  <w:pPr>
                    <w:pStyle w:val="heading 5"/>
                    <w:keepNext/>
                    <w:keepLines/>
                    <w:spacing w:before="30" w:after="0" w:lineRule="atLeast" w:line="150"/>
                    <w:ind w:left="0" w:right="0" w:hanging="0"/>
                    <w:jc w:val="left"/>
                    <w:rPr>
                      <w:rFonts w:ascii="arial" w:eastAsia="arial" w:hAnsi="arial" w:cs="arial"/>
                      <w:b/>
                      <w:bCs/>
                      <w:i w:val="false"/>
                      <w:color w:val="000000"/>
                      <w:spacing w:val="6"/>
                      <w:sz w:val="16"/>
                      <w:szCs w:val="16"/>
                    </w:rPr>
                  </w:pPr>
                  <w:r>
                    <w:rPr>
                      <w:rFonts w:ascii="arial" w:eastAsia="arial" w:hAnsi="arial" w:cs="arial"/>
                      <w:b/>
                      <w:bCs/>
                      <w:i w:val="false"/>
                      <w:color w:val="000000"/>
                      <w:spacing w:val="6"/>
                      <w:sz w:val="16"/>
                      <w:szCs w:val="16"/>
                    </w:rPr>
                    <w:t>Operating Ratios</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r>
            <w:tr>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Profit before Taxes / Net Worth, %</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28.8</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10.4</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6.5</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10.1</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7.7</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Profit before Taxes / Total Assets, %</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6.3</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3.2</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2.5</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2.6</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2.3</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Sales / Net Fixed Assets</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20.6</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23.2</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24.1</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35.3</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60.6</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Sales / Total Assets (Asset Turnover)</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2.7</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2.2</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2.1</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2.3</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2.6</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bl>
          <w:p>
            <w:pPr>
              <w:keepNext/>
              <w:keepLines/>
              <w:spacing w:before="0" w:after="0"/>
              <w:rPr>
                <w:vanish/>
              </w:rPr>
            </w:pPr>
          </w:p>
          <w:tbl>
            <w:tblPr>
              <w:tblW w:w="5000" w:type="pct"/>
              <w:jc w:val="left"/>
              <w:tblBorders>
                <w:top w:val="nil"/>
                <w:left w:val="nil"/>
                <w:bottom w:val="nil"/>
                <w:right w:val="nil"/>
                <w:insideH w:val="nil"/>
                <w:insideV w:val="nil"/>
              </w:tblBorders>
            </w:tblPr>
            <w:tr>
              <w:trPr>
                <w:tblHeader/>
              </w:trPr>
              <w:tc>
                <w:tcPr>
                  <w:tcW w:w="1500" w:type="pct"/>
                  <w:tcMar>
                    <w:top w:w="30" w:type="dxa"/>
                    <w:left w:w="0" w:type="dxa"/>
                    <w:bottom w:w="0" w:type="dxa"/>
                    <w:right w:w="0" w:type="dxa"/>
                  </w:tcMar>
                  <w:vAlign w:val="bottom"/>
                </w:tcPr>
                <w:p>
                  <w:pPr>
                    <w:pStyle w:val="heading 5"/>
                    <w:keepNext/>
                    <w:keepLines/>
                    <w:spacing w:before="30" w:after="0" w:lineRule="atLeast" w:line="150"/>
                    <w:ind w:left="0" w:right="0" w:hanging="0"/>
                    <w:jc w:val="left"/>
                    <w:rPr>
                      <w:rFonts w:ascii="arial" w:eastAsia="arial" w:hAnsi="arial" w:cs="arial"/>
                      <w:b/>
                      <w:bCs/>
                      <w:i w:val="false"/>
                      <w:color w:val="000000"/>
                      <w:spacing w:val="6"/>
                      <w:sz w:val="16"/>
                      <w:szCs w:val="16"/>
                    </w:rPr>
                  </w:pPr>
                  <w:r>
                    <w:rPr>
                      <w:rFonts w:ascii="arial" w:eastAsia="arial" w:hAnsi="arial" w:cs="arial"/>
                      <w:b/>
                      <w:bCs/>
                      <w:i w:val="false"/>
                      <w:color w:val="000000"/>
                      <w:spacing w:val="6"/>
                      <w:sz w:val="16"/>
                      <w:szCs w:val="16"/>
                    </w:rPr>
                    <w:t>Cash Flow &amp; Debt Service Ratios (% of sales)</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r>
            <w:tr>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Cash from Trading</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49.8</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50.7</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47.8</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47.4</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49.3</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Cash after Operations</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3.3</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2.1</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3.1</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3.0</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Net Cash after Operations</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4.2</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3.7</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3.4</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3.0</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Cash after Debt Amortization</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0.2</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-0.6</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Debt Service P&amp;I Coverage</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3.5</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3.1</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0.6</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Interest Coverage (Operating Cash)</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3.6</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5.7</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8.4</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3.1</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0.6</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bl>
          <w:p>
            <w:pPr>
              <w:keepNext/>
              <w:keepLines/>
              <w:spacing w:before="0" w:after="0"/>
              <w:rPr>
                <w:vanish/>
              </w:rPr>
            </w:pPr>
          </w:p>
          <w:tbl>
            <w:tblPr>
              <w:tblW w:w="5000" w:type="pct"/>
              <w:jc w:val="left"/>
              <w:tblBorders>
                <w:top w:val="nil"/>
                <w:left w:val="nil"/>
                <w:bottom w:val="nil"/>
                <w:right w:val="nil"/>
                <w:insideH w:val="nil"/>
                <w:insideV w:val="nil"/>
              </w:tblBorders>
            </w:tblPr>
            <w:tr>
              <w:trPr>
                <w:tblHeader/>
              </w:trPr>
              <w:tc>
                <w:tcPr>
                  <w:tcW w:w="1500" w:type="pct"/>
                  <w:tcMar>
                    <w:top w:w="30" w:type="dxa"/>
                    <w:left w:w="0" w:type="dxa"/>
                    <w:bottom w:w="0" w:type="dxa"/>
                    <w:right w:w="0" w:type="dxa"/>
                  </w:tcMar>
                  <w:vAlign w:val="bottom"/>
                </w:tcPr>
                <w:p>
                  <w:pPr>
                    <w:pStyle w:val="heading 5"/>
                    <w:keepNext/>
                    <w:keepLines/>
                    <w:spacing w:before="30" w:after="0" w:lineRule="atLeast" w:line="150"/>
                    <w:ind w:left="0" w:right="0" w:hanging="0"/>
                    <w:jc w:val="left"/>
                    <w:rPr>
                      <w:rFonts w:ascii="arial" w:eastAsia="arial" w:hAnsi="arial" w:cs="arial"/>
                      <w:b/>
                      <w:bCs/>
                      <w:i w:val="false"/>
                      <w:color w:val="000000"/>
                      <w:spacing w:val="6"/>
                      <w:sz w:val="16"/>
                      <w:szCs w:val="16"/>
                    </w:rPr>
                  </w:pPr>
                  <w:r>
                    <w:rPr>
                      <w:rFonts w:ascii="arial" w:eastAsia="arial" w:hAnsi="arial" w:cs="arial"/>
                      <w:b/>
                      <w:bCs/>
                      <w:i w:val="false"/>
                      <w:color w:val="000000"/>
                      <w:spacing w:val="6"/>
                      <w:sz w:val="16"/>
                      <w:szCs w:val="16"/>
                    </w:rPr>
                    <w:t>Assets,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r>
            <w:tr>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Cash &amp; Equivalents</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15.6</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13.6</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15.4</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18.0</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18.2</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Trade Receivables (net)</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9.4</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7.2</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11.5</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7.3</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8.4</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Inventory</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44.5</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46.4</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43.1</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49.3</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54.7</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All Other Current Assets</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2.2</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3.2</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2.1</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3.0</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3.3</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Total Current Assets</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71.6</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70.4</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72.2</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77.6</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84.7</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Fixed Assets (net)</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16.5</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17.4</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15.4</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8.0</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5.3</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Intangibles (net)</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3.5</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7.0</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3.5</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All Other Non-Current Assets</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8.4</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9.2</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7.4</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7.5</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6.5</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Total Assets</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100.0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100.0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100.0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100.0</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100.0</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Total Assets ($m)</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780.2</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590.3</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1,315.4</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357.2</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22.4</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46.6</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288.2</w:t>
                  </w:r>
                </w:p>
              </w:tc>
            </w:tr>
          </w:tbl>
          <w:p>
            <w:pPr>
              <w:keepNext/>
              <w:keepLines/>
              <w:spacing w:before="0" w:after="0"/>
              <w:rPr>
                <w:vanish/>
              </w:rPr>
            </w:pPr>
          </w:p>
          <w:tbl>
            <w:tblPr>
              <w:tblW w:w="5000" w:type="pct"/>
              <w:jc w:val="left"/>
              <w:tblBorders>
                <w:top w:val="nil"/>
                <w:left w:val="nil"/>
                <w:bottom w:val="nil"/>
                <w:right w:val="nil"/>
                <w:insideH w:val="nil"/>
                <w:insideV w:val="nil"/>
              </w:tblBorders>
            </w:tblPr>
            <w:tr>
              <w:trPr>
                <w:tblHeader/>
              </w:trPr>
              <w:tc>
                <w:tcPr>
                  <w:tcW w:w="1500" w:type="pct"/>
                  <w:tcMar>
                    <w:top w:w="30" w:type="dxa"/>
                    <w:left w:w="0" w:type="dxa"/>
                    <w:bottom w:w="0" w:type="dxa"/>
                    <w:right w:w="0" w:type="dxa"/>
                  </w:tcMar>
                  <w:vAlign w:val="bottom"/>
                </w:tcPr>
                <w:p>
                  <w:pPr>
                    <w:pStyle w:val="heading 5"/>
                    <w:keepNext/>
                    <w:keepLines/>
                    <w:spacing w:before="30" w:after="0" w:lineRule="atLeast" w:line="150"/>
                    <w:ind w:left="0" w:right="0" w:hanging="0"/>
                    <w:jc w:val="left"/>
                    <w:rPr>
                      <w:rFonts w:ascii="arial" w:eastAsia="arial" w:hAnsi="arial" w:cs="arial"/>
                      <w:b/>
                      <w:bCs/>
                      <w:i w:val="false"/>
                      <w:color w:val="000000"/>
                      <w:spacing w:val="6"/>
                      <w:sz w:val="16"/>
                      <w:szCs w:val="16"/>
                    </w:rPr>
                  </w:pPr>
                  <w:r>
                    <w:rPr>
                      <w:rFonts w:ascii="arial" w:eastAsia="arial" w:hAnsi="arial" w:cs="arial"/>
                      <w:b/>
                      <w:bCs/>
                      <w:i w:val="false"/>
                      <w:color w:val="000000"/>
                      <w:spacing w:val="6"/>
                      <w:sz w:val="16"/>
                      <w:szCs w:val="16"/>
                    </w:rPr>
                    <w:t>Liabilities,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r>
            <w:tr>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Notes Payable-Short Term</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17.3</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15.2</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18.6</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16.4</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17.5</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Current Maturities L/T/D</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3.5</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0.7</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0.3</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Trade Payables</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24.5</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19.7</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18.1</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15.7</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17.2</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Income Taxes Payable</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0.1</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0.1</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0.0</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0.0</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All Other Current Liabilities</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16.1</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21.4</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14.8</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14.4</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13.5</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Total Current Liabilities</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60.8</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59.9</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52.9</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47.1</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48.5</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Long Term Debt</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23.7</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8.1</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9.1</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9.5</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9.4</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Deferred Taxes</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0.5</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0.0</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0.0</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All Other Non-Current Liabilities</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3.2</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12.0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9.3</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5.2</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Net Worth</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11.0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28.8</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26.0</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34.1</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37.0</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N/A</w:t>
                  </w:r>
                </w:p>
              </w:tc>
            </w:tr>
            <w:tr>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Total Liabilities &amp; Net Worth ($m)</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780.2</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590.3</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1,315.4</w:t>
                  </w:r>
                </w:p>
              </w:tc>
              <w:tc>
                <w:tcPr>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357.2</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22.4</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46.6</w:t>
                  </w:r>
                </w:p>
              </w:tc>
              <w:tc>
                <w:tcPr>
                  <w:tcBorders>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288.2</w:t>
                  </w:r>
                </w:p>
              </w:tc>
            </w:tr>
          </w:tbl>
          <w:p>
            <w:pPr>
              <w:keepNext/>
              <w:keepLines/>
              <w:spacing w:before="0" w:after="0"/>
              <w:rPr>
                <w:vanish/>
              </w:rPr>
            </w:pPr>
          </w:p>
          <w:tbl>
            <w:tblPr>
              <w:tblW w:w="5000" w:type="pct"/>
              <w:jc w:val="left"/>
              <w:tblBorders>
                <w:top w:val="nil"/>
                <w:left w:val="nil"/>
                <w:bottom w:val="nil"/>
                <w:right w:val="nil"/>
                <w:insideH w:val="nil"/>
                <w:insideV w:val="nil"/>
              </w:tblBorders>
            </w:tblPr>
            <w:tr>
              <w:trPr>
                <w:tblHeader/>
              </w:trPr>
              <w:tc>
                <w:tcPr>
                  <w:tcW w:w="1500" w:type="pct"/>
                  <w:tcMar>
                    <w:top w:w="30" w:type="dxa"/>
                    <w:left w:w="0" w:type="dxa"/>
                    <w:bottom w:w="0" w:type="dxa"/>
                    <w:right w:w="0" w:type="dxa"/>
                  </w:tcMar>
                  <w:vAlign w:val="bottom"/>
                </w:tcPr>
                <w:p>
                  <w:pPr>
                    <w:keepNext/>
                    <w:keepLines/>
                    <w:spacing w:before="30" w:after="0" w:lineRule="atLeast" w:line="150"/>
                    <w:ind w:hanging="0"/>
                    <w:jc w:val="lef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tcMar>
                    <w:top w:w="30" w:type="dxa"/>
                    <w:left w:w="0" w:type="dxa"/>
                    <w:bottom w:w="0" w:type="dxa"/>
                    <w:right w:w="0" w:type="dxa"/>
                  </w:tcMar>
                  <w:vAlign w:val="bottom"/>
                </w:tcPr>
                <w:p>
                  <w:pPr>
                    <w:keepNext/>
                    <w:keepLines/>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c>
                <w:tcPr>
                  <w:tcW w:w="500" w:type="pct"/>
                  <w:shd w:val="clear" w:fill="EFEFF2"/>
                  <w:tcMar>
                    <w:top w:w="30" w:type="dxa"/>
                    <w:left w:w="0" w:type="dxa"/>
                    <w:bottom w:w="0" w:type="dxa"/>
                    <w:right w:w="0" w:type="dxa"/>
                  </w:tcMar>
                  <w:vAlign w:val="bottom"/>
                </w:tcPr>
                <w:p>
                  <w:pPr>
                    <w:keepNext/>
                    <w:keepLines/>
                    <w:shd w:val="clear" w:fill="EFEFF2"/>
                    <w:spacing w:before="30" w:after="0" w:lineRule="atLeast" w:line="150"/>
                    <w:ind w:hanging="0"/>
                    <w:jc w:val="right"/>
                    <w:rPr>
                      <w:rFonts w:ascii="arial" w:eastAsia="arial" w:hAnsi="arial" w:cs="arial"/>
                      <w:b/>
                      <w:bCs/>
                      <w:i w:val="false"/>
                      <w:spacing w:val="6"/>
                      <w:sz w:val="14"/>
                      <w:szCs w:val="14"/>
                    </w:rPr>
                  </w:pPr>
                  <w:r>
                    <w:rPr>
                      <w:rFonts w:ascii="arial" w:eastAsia="arial" w:hAnsi="arial" w:cs="arial"/>
                      <w:b/>
                      <w:bCs/>
                      <w:i w:val="false"/>
                      <w:spacing w:val="6"/>
                      <w:sz w:val="14"/>
                      <w:szCs w:val="14"/>
                    </w:rPr>
                    <w:t xml:space="preserve"> </w:t>
                  </w:r>
                </w:p>
              </w:tc>
            </w:tr>
            <w:tr>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left"/>
                    <w:rPr>
                      <w:rFonts w:ascii="arial" w:eastAsia="arial" w:hAnsi="arial" w:cs="arial"/>
                      <w:b w:val="false"/>
                      <w:bCs w:val="false"/>
                      <w:i w:val="false"/>
                      <w:sz w:val="16"/>
                      <w:szCs w:val="16"/>
                    </w:rPr>
                  </w:pPr>
                  <w:r>
                    <w:rPr>
                      <w:rFonts w:ascii="arial" w:eastAsia="arial" w:hAnsi="arial" w:cs="arial"/>
                      <w:b w:val="false"/>
                      <w:bCs w:val="false"/>
                      <w:i w:val="false"/>
                      <w:sz w:val="14"/>
                      <w:szCs w:val="14"/>
                    </w:rPr>
                    <w:t>Maximum No. of Statements Used</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35.0</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41.0</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35.0</w:t>
                  </w:r>
                </w:p>
              </w:tc>
              <w:tc>
                <w:tcPr>
                  <w:tcBorders>
                    <w:top w:val="single" w:sz="6" w:color="D07368"/>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27.0</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21.0</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4.0</w:t>
                  </w:r>
                </w:p>
              </w:tc>
              <w:tc>
                <w:tcPr>
                  <w:tcBorders>
                    <w:top w:val="single" w:sz="6" w:color="D07368"/>
                    <w:bottom w:val="single" w:sz="6" w:color="D8DDEA"/>
                  </w:tcBorders>
                  <w:shd w:val="clear" w:fill="EFEFF2"/>
                  <w:tcMar>
                    <w:top w:w="15" w:type="dxa"/>
                    <w:left w:w="0" w:type="dxa"/>
                    <w:bottom w:w="15" w:type="dxa"/>
                    <w:right w:w="0" w:type="dxa"/>
                  </w:tcMar>
                  <w:vAlign w:val="center"/>
                </w:tcPr>
                <w:p>
                  <w:pPr>
                    <w:keepNext/>
                    <w:keepLines/>
                    <w:shd w:val="clear" w:fill="EFEFF2"/>
                    <w:spacing w:before="0" w:after="0" w:lineRule="atLeast" w:line="150"/>
                    <w:ind w:hanging="0"/>
                    <w:jc w:val="right"/>
                    <w:rPr>
                      <w:rFonts w:ascii="arial" w:eastAsia="arial" w:hAnsi="arial" w:cs="arial"/>
                      <w:b w:val="false"/>
                      <w:bCs w:val="false"/>
                      <w:i w:val="false"/>
                      <w:sz w:val="16"/>
                      <w:szCs w:val="16"/>
                    </w:rPr>
                  </w:pPr>
                  <w:r>
                    <w:rPr>
                      <w:rFonts w:ascii="arial" w:eastAsia="arial" w:hAnsi="arial" w:cs="arial"/>
                      <w:b w:val="false"/>
                      <w:bCs w:val="false"/>
                      <w:i w:val="false"/>
                      <w:sz w:val="14"/>
                      <w:szCs w:val="14"/>
                    </w:rPr>
                    <w:t>2.0</w:t>
                  </w:r>
                </w:p>
              </w:tc>
            </w:tr>
            <w:tr>
              <w:tc>
                <w:tcPr>
                  <w:gridSpan w:val="5"/>
                  <w:tcBorders>
                    <w:bottom w:val="single" w:sz="6" w:color="D8DDEA"/>
                  </w:tcBorders>
                  <w:tcMar>
                    <w:top w:w="120" w:type="dxa"/>
                    <w:left w:w="0" w:type="dxa"/>
                    <w:bottom w:w="15" w:type="dxa"/>
                    <w:right w:w="0" w:type="dxa"/>
                  </w:tcMar>
                  <w:vAlign w:val="center"/>
                </w:tcPr>
                <w:p>
                  <w:pPr>
                    <w:keepNext/>
                    <w:keepLines/>
                    <w:spacing w:before="0" w:after="0" w:lineRule="atLeast" w:line="135"/>
                    <w:ind w:hanging="0"/>
                    <w:jc w:val="right"/>
                    <w:rPr>
                      <w:rFonts w:ascii="arial" w:eastAsia="arial" w:hAnsi="arial" w:cs="arial"/>
                      <w:b w:val="false"/>
                      <w:bCs w:val="false"/>
                      <w:i w:val="false"/>
                      <w:sz w:val="16"/>
                      <w:szCs w:val="16"/>
                    </w:rPr>
                  </w:pPr>
                  <w:r>
                    <w:rPr>
                      <w:rFonts w:ascii="arial" w:eastAsia="arial" w:hAnsi="arial" w:cs="arial"/>
                      <w:b w:val="false"/>
                      <w:bCs w:val="false"/>
                      <w:i w:val="false"/>
                      <w:color w:val="A1A7B5"/>
                      <w:sz w:val="12"/>
                      <w:szCs w:val="12"/>
                    </w:rPr>
                    <w:t>Source: RMA Annual Statement Studies, rmahq.org.</w:t>
                  </w:r>
                  <w:r>
                    <w:br/>
                  </w:r>
                  <w:r>
                    <w:rPr>
                      <w:rFonts w:ascii="arial" w:eastAsia="arial" w:hAnsi="arial" w:cs="arial"/>
                      <w:b w:val="false"/>
                      <w:bCs w:val="false"/>
                      <w:i w:val="false"/>
                      <w:color w:val="A1A7B5"/>
                      <w:sz w:val="12"/>
                      <w:szCs w:val="12"/>
                    </w:rPr>
                    <w:t>RMA data for all industries is derived directly from more than 260,000 statements of member financial institution's borrowers and prospects</w:t>
                  </w:r>
                </w:p>
              </w:tc>
              <w:tc>
                <w:tcPr>
                  <w:gridSpan w:val="3"/>
                  <w:tcBorders>
                    <w:bottom w:val="single" w:sz="6" w:color="D8DDEA"/>
                  </w:tcBorders>
                  <w:tcMar>
                    <w:top w:w="15" w:type="dxa"/>
                    <w:left w:w="0" w:type="dxa"/>
                    <w:bottom w:w="15" w:type="dxa"/>
                    <w:right w:w="0" w:type="dxa"/>
                  </w:tcMar>
                  <w:vAlign w:val="center"/>
                </w:tcPr>
                <w:p>
                  <w:pPr>
                    <w:keepNext/>
                    <w:keepLines/>
                    <w:spacing w:before="0" w:after="0" w:lineRule="atLeast" w:line="150"/>
                    <w:ind w:hanging="0"/>
                    <w:jc w:val="right"/>
                    <w:rPr>
                      <w:rFonts w:ascii="arial" w:eastAsia="arial" w:hAnsi="arial" w:cs="arial"/>
                      <w:b w:val="false"/>
                      <w:bCs w:val="false"/>
                      <w:i w:val="false"/>
                      <w:sz w:val="16"/>
                      <w:szCs w:val="16"/>
                    </w:rPr>
                  </w:pPr>
                  <w:r>
                    <w:drawing>
                      <wp:inline>
                        <wp:extent cx="2047875" cy="542925"/>
                        <wp:docPr id="161" name="Picture 161" descr="RMA"/>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PictureId67" cstate="print"/>
                                <a:stretch>
                                  <a:fillRect/>
                                </a:stretch>
                              </pic:blipFill>
                              <pic:spPr>
                                <a:xfrm>
                                  <a:off x="0" y="0"/>
                                  <a:ext cx="2047875" cy="542925"/>
                                </a:xfrm>
                                <a:prstGeom prst="rect">
                                  <a:avLst/>
                                </a:prstGeom>
                              </pic:spPr>
                            </pic:pic>
                          </a:graphicData>
                        </a:graphic>
                      </wp:inline>
                    </w:drawing>
                  </w:r>
                </w:p>
              </w:tc>
            </w:tr>
          </w:tbl>
          <w:p>
            <w:pPr/>
          </w:p>
        </w:tc>
      </w:tr>
    </w:tbl>
    <w:p>
      <w:pPr>
        <w:sectPr>
          <w:headerReference w:type="default" r:id="gemHfRid92"/>
          <w:footerReference w:type="default" r:id="gemHfRid93"/>
          <w:pgSz w:w="11907" w:h="16839" w:code="9"/>
          <w:pgMar w:top="640" w:right="640" w:bottom="640" w:left="640" w:header="0" w:footer="0" w:gutter="0"/>
          <w:cols w:space="708"/>
          <w:docGrid w:linePitch="360"/>
        </w:sectPr>
      </w:pPr>
    </w:p>
    <w:p>
      <w:pPr>
        <w:pStyle w:val="heading 1"/>
        <w:spacing w:before="0" w:after="240" w:lineRule="atLeast" w:line="420"/>
        <w:ind w:left="0" w:right="0" w:hanging="0"/>
        <w:jc w:val="left"/>
        <w:rPr>
          <w:rFonts w:ascii="arial" w:eastAsia="arial" w:hAnsi="arial" w:cs="arial"/>
          <w:b w:val="false"/>
          <w:bCs w:val="false"/>
          <w:i w:val="false"/>
          <w:color w:val="333333"/>
          <w:sz w:val="36"/>
          <w:szCs w:val="36"/>
        </w:rPr>
      </w:pPr>
      <w:bookmarkStart w:id="40" w:name="_Toc41"/>
      <w:r>
        <w:rPr>
          <w:rFonts w:ascii="arial" w:eastAsia="arial" w:hAnsi="arial" w:cs="arial"/>
          <w:b w:val="false"/>
          <w:bCs w:val="false"/>
          <w:i w:val="false"/>
          <w:color w:val="333333"/>
          <w:sz w:val="36"/>
          <w:szCs w:val="36"/>
        </w:rPr>
        <w:t>Additional Resources</w:t>
      </w:r>
      <w:bookmarkEnd w:id="40"/>
    </w:p>
    <w:tbl>
      <w:tblPr>
        <w:tblW w:w="5000" w:type="pct"/>
        <w:jc w:val="left"/>
        <w:tblBorders>
          <w:top w:val="nil"/>
          <w:left w:val="nil"/>
          <w:bottom w:val="nil"/>
          <w:right w:val="nil"/>
          <w:insideH w:val="nil"/>
          <w:insideV w:val="nil"/>
        </w:tblBorders>
      </w:tblPr>
      <w:tr>
        <w:tc>
          <w:tcPr>
            <w:vAlign w:val="top"/>
          </w:tcPr>
          <w:tbl>
            <w:tblPr>
              <w:tblW w:w="5000" w:type="pct"/>
              <w:jc w:val="left"/>
              <w:tblBorders>
                <w:top w:val="nil"/>
                <w:left w:val="nil"/>
                <w:bottom w:val="nil"/>
                <w:right w:val="nil"/>
                <w:insideH w:val="nil"/>
                <w:insideV w:val="nil"/>
              </w:tblBorders>
            </w:tblPr>
            <w:tr>
              <w:tc>
                <w:tcPr>
                  <w:tcW w:w="1000" w:type="pct"/>
                  <w:vAlign w:val="top"/>
                </w:tcPr>
                <w:p>
                  <w:pPr>
                    <w:pStyle w:val="heading 2"/>
                    <w:keepNext/>
                    <w:spacing w:before="0" w:after="0" w:lineRule="atLeast" w:line="270"/>
                    <w:ind w:left="0" w:right="0" w:hanging="0"/>
                    <w:jc w:val="left"/>
                    <w:rPr>
                      <w:rFonts w:ascii="arial" w:eastAsia="arial" w:hAnsi="arial" w:cs="arial"/>
                      <w:b/>
                      <w:bCs/>
                      <w:i w:val="false"/>
                      <w:color w:val="333333"/>
                      <w:spacing w:val="4"/>
                      <w:sz w:val="21"/>
                      <w:szCs w:val="21"/>
                    </w:rPr>
                  </w:pPr>
                  <w:bookmarkStart w:id="41" w:name="_Toc42"/>
                  <w:r>
                    <w:rPr>
                      <w:rFonts w:ascii="arial" w:eastAsia="arial" w:hAnsi="arial" w:cs="arial"/>
                      <w:b/>
                      <w:bCs/>
                      <w:i w:val="false"/>
                      <w:color w:val="333333"/>
                      <w:spacing w:val="4"/>
                      <w:sz w:val="21"/>
                      <w:szCs w:val="21"/>
                    </w:rPr>
                    <w:t>Additional Resources</w:t>
                  </w:r>
                  <w:bookmarkEnd w:id="41"/>
                </w:p>
              </w:tc>
              <w:tc>
                <w:tcPr>
                  <w:tcW w:w="4000" w:type="pct"/>
                  <w:vAlign w:val="top"/>
                </w:tcPr>
                <w:p>
                  <w:pPr>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National Retail Federation</w:t>
                  </w:r>
                  <w:r>
                    <w:br/>
                  </w:r>
                  <w:r>
                    <w:rPr>
                      <w:rFonts w:ascii="arial" w:eastAsia="arial" w:hAnsi="arial" w:cs="arial"/>
                      <w:b w:val="false"/>
                      <w:bCs w:val="false"/>
                      <w:i w:val="false"/>
                      <w:sz w:val="16"/>
                      <w:szCs w:val="16"/>
                    </w:rPr>
                    <w:t>http://www.nrf.com</w:t>
                  </w:r>
                </w:p>
                <w:p>
                  <w:pPr>
                    <w:spacing w:before="0" w:after="18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 xml:space="preserve">American Apparel &amp; Footwear Association </w:t>
                  </w:r>
                  <w:r>
                    <w:br/>
                  </w:r>
                  <w:r>
                    <w:rPr>
                      <w:rFonts w:ascii="arial" w:eastAsia="arial" w:hAnsi="arial" w:cs="arial"/>
                      <w:b w:val="false"/>
                      <w:bCs w:val="false"/>
                      <w:i w:val="false"/>
                      <w:sz w:val="16"/>
                      <w:szCs w:val="16"/>
                    </w:rPr>
                    <w:t>http://www.aafaglobal.org</w:t>
                  </w:r>
                </w:p>
                <w:p>
                  <w:pPr>
                    <w:spacing w:before="0" w:after="120" w:lineRule="atLeast" w:line="225"/>
                    <w:ind w:left="0" w:right="0" w:hanging="0"/>
                    <w:jc w:val="left"/>
                    <w:rPr>
                      <w:rFonts w:ascii="arial" w:eastAsia="arial" w:hAnsi="arial" w:cs="arial"/>
                      <w:b w:val="false"/>
                      <w:bCs w:val="false"/>
                      <w:i w:val="false"/>
                      <w:sz w:val="16"/>
                      <w:szCs w:val="16"/>
                    </w:rPr>
                  </w:pPr>
                  <w:r>
                    <w:rPr>
                      <w:rFonts w:ascii="arial" w:eastAsia="arial" w:hAnsi="arial" w:cs="arial"/>
                      <w:b w:val="false"/>
                      <w:bCs w:val="false"/>
                      <w:i w:val="false"/>
                      <w:sz w:val="16"/>
                      <w:szCs w:val="16"/>
                    </w:rPr>
                    <w:t>US Census Bureau</w:t>
                  </w:r>
                  <w:r>
                    <w:br/>
                  </w:r>
                  <w:r>
                    <w:rPr>
                      <w:rFonts w:ascii="arial" w:eastAsia="arial" w:hAnsi="arial" w:cs="arial"/>
                      <w:b w:val="false"/>
                      <w:bCs w:val="false"/>
                      <w:i w:val="false"/>
                      <w:sz w:val="16"/>
                      <w:szCs w:val="16"/>
                    </w:rPr>
                    <w:t>http://www.census.gov</w:t>
                  </w:r>
                </w:p>
              </w:tc>
            </w:tr>
          </w:tbl>
          <w:p>
            <w:pPr>
              <w:spacing w:before="0" w:after="0" w:lineRule="atLeast" w:line="225"/>
              <w:ind w:hanging="0"/>
              <w:jc w:val="left"/>
              <w:rPr>
                <w:rFonts w:ascii="arial" w:eastAsia="arial" w:hAnsi="arial" w:cs="arial"/>
                <w:b w:val="false"/>
                <w:bCs w:val="false"/>
                <w:i w:val="false"/>
                <w:sz w:val="16"/>
                <w:szCs w:val="16"/>
              </w:rPr>
            </w:pPr>
            <w:r>
              <w:br/>
            </w:r>
          </w:p>
          <w:tbl>
            <w:tblPr>
              <w:tblW w:w="5000" w:type="pct"/>
              <w:jc w:val="left"/>
              <w:tblBorders>
                <w:top w:val="nil"/>
                <w:left w:val="nil"/>
                <w:bottom w:val="nil"/>
                <w:right w:val="nil"/>
                <w:insideH w:val="nil"/>
                <w:insideV w:val="nil"/>
              </w:tblBorders>
            </w:tblPr>
            <w:tr>
              <w:tc>
                <w:tcPr>
                  <w:tcW w:w="1000" w:type="pct"/>
                  <w:vAlign w:val="top"/>
                </w:tcPr>
                <w:p>
                  <w:pPr>
                    <w:pStyle w:val="heading 2"/>
                    <w:keepNext/>
                    <w:spacing w:before="0" w:after="0" w:lineRule="atLeast" w:line="270"/>
                    <w:ind w:left="0" w:right="0" w:hanging="0"/>
                    <w:jc w:val="left"/>
                    <w:rPr>
                      <w:rFonts w:ascii="arial" w:eastAsia="arial" w:hAnsi="arial" w:cs="arial"/>
                      <w:b/>
                      <w:bCs/>
                      <w:i w:val="false"/>
                      <w:color w:val="333333"/>
                      <w:spacing w:val="4"/>
                      <w:sz w:val="21"/>
                      <w:szCs w:val="21"/>
                    </w:rPr>
                  </w:pPr>
                  <w:bookmarkStart w:id="42" w:name="_Toc43"/>
                  <w:r>
                    <w:rPr>
                      <w:rFonts w:ascii="arial" w:eastAsia="arial" w:hAnsi="arial" w:cs="arial"/>
                      <w:b/>
                      <w:bCs/>
                      <w:i w:val="false"/>
                      <w:color w:val="333333"/>
                      <w:spacing w:val="4"/>
                      <w:sz w:val="21"/>
                      <w:szCs w:val="21"/>
                    </w:rPr>
                    <w:t>Industry Jargon</w:t>
                  </w:r>
                  <w:bookmarkEnd w:id="42"/>
                </w:p>
              </w:tc>
              <w:tc>
                <w:tcPr>
                  <w:tcW w:w="4000" w:type="pct"/>
                  <w:vAlign w:val="top"/>
                </w:tcPr>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BABY BOOMERS</w:t>
                  </w:r>
                  <w:r>
                    <w:br/>
                  </w:r>
                  <w:r>
                    <w:rPr>
                      <w:rFonts w:ascii="arial" w:eastAsia="arial" w:hAnsi="arial" w:cs="arial"/>
                      <w:b w:val="false"/>
                      <w:bCs w:val="false"/>
                      <w:i w:val="false"/>
                      <w:sz w:val="16"/>
                      <w:szCs w:val="16"/>
                    </w:rPr>
                    <w:t>The demographic of Americans born between 1946 and 1964, accounting for a major proportion of the population.</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GENERATION X</w:t>
                  </w:r>
                  <w:r>
                    <w:br/>
                  </w:r>
                  <w:r>
                    <w:rPr>
                      <w:rFonts w:ascii="arial" w:eastAsia="arial" w:hAnsi="arial" w:cs="arial"/>
                      <w:b w:val="false"/>
                      <w:bCs w:val="false"/>
                      <w:i w:val="false"/>
                      <w:sz w:val="16"/>
                      <w:szCs w:val="16"/>
                    </w:rPr>
                    <w:t>The demographic of Americans aged 30 to 45, which follows the baby boomer generation.</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GENERATION Y</w:t>
                  </w:r>
                  <w:r>
                    <w:br/>
                  </w:r>
                  <w:r>
                    <w:rPr>
                      <w:rFonts w:ascii="arial" w:eastAsia="arial" w:hAnsi="arial" w:cs="arial"/>
                      <w:b w:val="false"/>
                      <w:bCs w:val="false"/>
                      <w:i w:val="false"/>
                      <w:sz w:val="16"/>
                      <w:szCs w:val="16"/>
                    </w:rPr>
                    <w:t>The demographic of Americans aged between 10 and 30, which are born to baby boomers and follow Generation X.</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OFFSHORING</w:t>
                  </w:r>
                  <w:r>
                    <w:br/>
                  </w:r>
                  <w:r>
                    <w:rPr>
                      <w:rFonts w:ascii="arial" w:eastAsia="arial" w:hAnsi="arial" w:cs="arial"/>
                      <w:b w:val="false"/>
                      <w:bCs w:val="false"/>
                      <w:i w:val="false"/>
                      <w:sz w:val="16"/>
                      <w:szCs w:val="16"/>
                    </w:rPr>
                    <w:t>The relocation of a company's business process, such as manufacturing or accounting, from one country to another, whether the work is outsourced or stays within the company.</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OUTSOURCE</w:t>
                  </w:r>
                  <w:r>
                    <w:br/>
                  </w:r>
                  <w:r>
                    <w:rPr>
                      <w:rFonts w:ascii="arial" w:eastAsia="arial" w:hAnsi="arial" w:cs="arial"/>
                      <w:b w:val="false"/>
                      <w:bCs w:val="false"/>
                      <w:i w:val="false"/>
                      <w:sz w:val="16"/>
                      <w:szCs w:val="16"/>
                    </w:rPr>
                    <w:t>To procure goods or services under contract with an outside supplier.</w:t>
                  </w:r>
                </w:p>
                <w:p>
                  <w:pPr>
                    <w:spacing w:before="0" w:after="12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POINT-OF-SALE (POS)</w:t>
                  </w:r>
                  <w:r>
                    <w:br/>
                  </w:r>
                  <w:r>
                    <w:rPr>
                      <w:rFonts w:ascii="arial" w:eastAsia="arial" w:hAnsi="arial" w:cs="arial"/>
                      <w:b w:val="false"/>
                      <w:bCs w:val="false"/>
                      <w:i w:val="false"/>
                      <w:sz w:val="16"/>
                      <w:szCs w:val="16"/>
                    </w:rPr>
                    <w:t>A system used at checkout in retail stores using computers and cash registers to capture transaction data at the time and place of sale.</w:t>
                  </w:r>
                </w:p>
              </w:tc>
            </w:tr>
          </w:tbl>
          <w:p>
            <w:pPr>
              <w:spacing w:before="0" w:after="0" w:lineRule="atLeast" w:line="225"/>
              <w:ind w:hanging="0"/>
              <w:jc w:val="left"/>
              <w:rPr>
                <w:rFonts w:ascii="arial" w:eastAsia="arial" w:hAnsi="arial" w:cs="arial"/>
                <w:b w:val="false"/>
                <w:bCs w:val="false"/>
                <w:i w:val="false"/>
                <w:sz w:val="16"/>
                <w:szCs w:val="16"/>
              </w:rPr>
            </w:pPr>
            <w:r>
              <w:br/>
            </w:r>
          </w:p>
          <w:tbl>
            <w:tblPr>
              <w:tblW w:w="5000" w:type="pct"/>
              <w:jc w:val="left"/>
              <w:tblBorders>
                <w:top w:val="nil"/>
                <w:left w:val="nil"/>
                <w:bottom w:val="nil"/>
                <w:right w:val="nil"/>
                <w:insideH w:val="nil"/>
                <w:insideV w:val="nil"/>
              </w:tblBorders>
            </w:tblPr>
            <w:tr>
              <w:tc>
                <w:tcPr>
                  <w:tcW w:w="1000" w:type="pct"/>
                  <w:vAlign w:val="top"/>
                </w:tcPr>
                <w:p>
                  <w:pPr>
                    <w:pStyle w:val="heading 2"/>
                    <w:keepNext/>
                    <w:spacing w:before="0" w:after="0" w:lineRule="atLeast" w:line="270"/>
                    <w:ind w:left="0" w:right="0" w:hanging="0"/>
                    <w:jc w:val="left"/>
                    <w:rPr>
                      <w:rFonts w:ascii="arial" w:eastAsia="arial" w:hAnsi="arial" w:cs="arial"/>
                      <w:b/>
                      <w:bCs/>
                      <w:i w:val="false"/>
                      <w:color w:val="333333"/>
                      <w:spacing w:val="4"/>
                      <w:sz w:val="21"/>
                      <w:szCs w:val="21"/>
                    </w:rPr>
                  </w:pPr>
                  <w:bookmarkStart w:id="43" w:name="_Toc44"/>
                  <w:r>
                    <w:rPr>
                      <w:rFonts w:ascii="arial" w:eastAsia="arial" w:hAnsi="arial" w:cs="arial"/>
                      <w:b/>
                      <w:bCs/>
                      <w:i w:val="false"/>
                      <w:color w:val="333333"/>
                      <w:spacing w:val="4"/>
                      <w:sz w:val="21"/>
                      <w:szCs w:val="21"/>
                    </w:rPr>
                    <w:t>Glossary</w:t>
                  </w:r>
                  <w:bookmarkEnd w:id="43"/>
                </w:p>
              </w:tc>
              <w:tc>
                <w:tcPr>
                  <w:tcW w:w="4000" w:type="pct"/>
                  <w:vAlign w:val="top"/>
                </w:tcPr>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BARRIERS TO ENTRY</w:t>
                  </w:r>
                  <w:r>
                    <w:br/>
                  </w:r>
                  <w:r>
                    <w:rPr>
                      <w:rFonts w:ascii="arial" w:eastAsia="arial" w:hAnsi="arial" w:cs="arial"/>
                      <w:b w:val="false"/>
                      <w:bCs w:val="false"/>
                      <w:i w:val="false"/>
                      <w:sz w:val="16"/>
                      <w:szCs w:val="16"/>
                    </w:rPr>
                    <w:t>High barriers to entry mean that new companies struggle to enter an industry, while low barriers mean it is easy for new companies to enter an industry.</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CAPITAL INTENSITY</w:t>
                  </w:r>
                  <w:r>
                    <w:br/>
                  </w:r>
                  <w:r>
                    <w:rPr>
                      <w:rFonts w:ascii="arial" w:eastAsia="arial" w:hAnsi="arial" w:cs="arial"/>
                      <w:b w:val="false"/>
                      <w:bCs w:val="false"/>
                      <w:i w:val="false"/>
                      <w:sz w:val="16"/>
                      <w:szCs w:val="16"/>
                    </w:rPr>
                    <w:t>Compares the amount of money spent on capital (plant, machinery and equipment) with that spent on labor. IBISWorld uses the ratio of depreciation to wages as a proxy for capital intensity. High capital intensity is more than $0.333 of capital to $1 of labor; medium is $0.125 to $0.333 of capital to $1 of labor; low is less than $0.125 of capital for every $1 of labor.</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CONSTANT PRICES</w:t>
                  </w:r>
                  <w:r>
                    <w:br/>
                  </w:r>
                  <w:r>
                    <w:rPr>
                      <w:rFonts w:ascii="arial" w:eastAsia="arial" w:hAnsi="arial" w:cs="arial"/>
                      <w:b w:val="false"/>
                      <w:bCs w:val="false"/>
                      <w:i w:val="false"/>
                      <w:sz w:val="16"/>
                      <w:szCs w:val="16"/>
                    </w:rPr>
                    <w:t>The dollar figures in the Key Statistics table, including forecasts, are adjusted for inflation using the current year (i.e. year published) as the base year. This removes the impact of changes in the purchasing power of the dollar, leaving only the "real" growth or decline in industry metrics. The inflation adjustments in IBISWorld’s reports are made using the US Bureau of Economic Analysis’ implicit GDP price deflator.</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DOMESTIC DEMAND</w:t>
                  </w:r>
                  <w:r>
                    <w:br/>
                  </w:r>
                  <w:r>
                    <w:rPr>
                      <w:rFonts w:ascii="arial" w:eastAsia="arial" w:hAnsi="arial" w:cs="arial"/>
                      <w:b w:val="false"/>
                      <w:bCs w:val="false"/>
                      <w:i w:val="false"/>
                      <w:sz w:val="16"/>
                      <w:szCs w:val="16"/>
                    </w:rPr>
                    <w:t>Spending on industry goods and services within the United States, regardless of their country of origin. It is derived by adding imports to industry revenue, and then subtracting exports.</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EMPLOYMENT</w:t>
                  </w:r>
                  <w:r>
                    <w:br/>
                  </w:r>
                  <w:r>
                    <w:rPr>
                      <w:rFonts w:ascii="arial" w:eastAsia="arial" w:hAnsi="arial" w:cs="arial"/>
                      <w:b w:val="false"/>
                      <w:bCs w:val="false"/>
                      <w:i w:val="false"/>
                      <w:sz w:val="16"/>
                      <w:szCs w:val="16"/>
                    </w:rPr>
                    <w:t>The number of permanent, part-time, temporary and seasonal employees, working proprietors, partners, managers and executives within the industry.</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ENTERPRISE</w:t>
                  </w:r>
                  <w:r>
                    <w:br/>
                  </w:r>
                  <w:r>
                    <w:rPr>
                      <w:rFonts w:ascii="arial" w:eastAsia="arial" w:hAnsi="arial" w:cs="arial"/>
                      <w:b w:val="false"/>
                      <w:bCs w:val="false"/>
                      <w:i w:val="false"/>
                      <w:sz w:val="16"/>
                      <w:szCs w:val="16"/>
                    </w:rPr>
                    <w:t>A division that is separately managed and keeps management accounts. Each enterprise consists of one or more establishments that are under common ownership or control.</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ESTABLISHMENT</w:t>
                  </w:r>
                  <w:r>
                    <w:br/>
                  </w:r>
                  <w:r>
                    <w:rPr>
                      <w:rFonts w:ascii="arial" w:eastAsia="arial" w:hAnsi="arial" w:cs="arial"/>
                      <w:b w:val="false"/>
                      <w:bCs w:val="false"/>
                      <w:i w:val="false"/>
                      <w:sz w:val="16"/>
                      <w:szCs w:val="16"/>
                    </w:rPr>
                    <w:t>The smallest type of accounting unit within an enterprise, an establishment is a single physical location where business is conducted or where services or industrial operations are performed. Multiple establishments under common control make up an enterprise.</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EXPORTS</w:t>
                  </w:r>
                  <w:r>
                    <w:br/>
                  </w:r>
                  <w:r>
                    <w:rPr>
                      <w:rFonts w:ascii="arial" w:eastAsia="arial" w:hAnsi="arial" w:cs="arial"/>
                      <w:b w:val="false"/>
                      <w:bCs w:val="false"/>
                      <w:i w:val="false"/>
                      <w:sz w:val="16"/>
                      <w:szCs w:val="16"/>
                    </w:rPr>
                    <w:t>Total value of industry goods and services sold by US companies to customers abroad.</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IMPORTS</w:t>
                  </w:r>
                  <w:r>
                    <w:br/>
                  </w:r>
                  <w:r>
                    <w:rPr>
                      <w:rFonts w:ascii="arial" w:eastAsia="arial" w:hAnsi="arial" w:cs="arial"/>
                      <w:b w:val="false"/>
                      <w:bCs w:val="false"/>
                      <w:i w:val="false"/>
                      <w:sz w:val="16"/>
                      <w:szCs w:val="16"/>
                    </w:rPr>
                    <w:t>Total value of industry goods and services brought in from foreign countries to be sold in the United States.</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INDUSTRY CONCENTRATION</w:t>
                  </w:r>
                  <w:r>
                    <w:br/>
                  </w:r>
                  <w:r>
                    <w:rPr>
                      <w:rFonts w:ascii="arial" w:eastAsia="arial" w:hAnsi="arial" w:cs="arial"/>
                      <w:b w:val="false"/>
                      <w:bCs w:val="false"/>
                      <w:i w:val="false"/>
                      <w:sz w:val="16"/>
                      <w:szCs w:val="16"/>
                    </w:rPr>
                    <w:t>An indicator of the dominance of the top four players in an industry. Concentration is considered high if the top players account for more than 70% of industry revenue. Medium is 40% to 70% of industry revenue. Low is less than 40%.</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INDUSTRY REVENUE</w:t>
                  </w:r>
                  <w:r>
                    <w:br/>
                  </w:r>
                  <w:r>
                    <w:rPr>
                      <w:rFonts w:ascii="arial" w:eastAsia="arial" w:hAnsi="arial" w:cs="arial"/>
                      <w:b w:val="false"/>
                      <w:bCs w:val="false"/>
                      <w:i w:val="false"/>
                      <w:sz w:val="16"/>
                      <w:szCs w:val="16"/>
                    </w:rPr>
                    <w:t>The total sales of industry goods and services (exclusive of excise and sales tax); subsidies on production; all other operating income from outside the firm (such as commission income, repair and service income, and rent, leasing and hiring income); and capital work done by rental or lease. Receipts from interest royalties, dividends and the sale of fixed tangible assets are excluded.</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INDUSTRY VALUE ADDED (IVA)</w:t>
                  </w:r>
                  <w:r>
                    <w:br/>
                  </w:r>
                  <w:r>
                    <w:rPr>
                      <w:rFonts w:ascii="arial" w:eastAsia="arial" w:hAnsi="arial" w:cs="arial"/>
                      <w:b w:val="false"/>
                      <w:bCs w:val="false"/>
                      <w:i w:val="false"/>
                      <w:sz w:val="16"/>
                      <w:szCs w:val="16"/>
                    </w:rPr>
                    <w:t>The market value of goods and services produced by the industry minus the cost of goods and services used in production. IVA is also described as the industry's contribution to GDP, or profit plus wages and depreciation.</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INTERNATIONAL TRADE</w:t>
                  </w:r>
                  <w:r>
                    <w:br/>
                  </w:r>
                  <w:r>
                    <w:rPr>
                      <w:rFonts w:ascii="arial" w:eastAsia="arial" w:hAnsi="arial" w:cs="arial"/>
                      <w:b w:val="false"/>
                      <w:bCs w:val="false"/>
                      <w:i w:val="false"/>
                      <w:sz w:val="16"/>
                      <w:szCs w:val="16"/>
                    </w:rPr>
                    <w:t>The level of international trade is determined by ratios of exports to revenue and imports to domestic demand. For exports/revenue: low is less than 5%, medium is 5% to 20%, and high is more than 20%. Imports/domestic demand: low is less than 5%, medium is 5% to 35%, and high is more than 35%.</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LIFE CYCLE</w:t>
                  </w:r>
                  <w:r>
                    <w:br/>
                  </w:r>
                  <w:r>
                    <w:rPr>
                      <w:rFonts w:ascii="arial" w:eastAsia="arial" w:hAnsi="arial" w:cs="arial"/>
                      <w:b w:val="false"/>
                      <w:bCs w:val="false"/>
                      <w:i w:val="false"/>
                      <w:sz w:val="16"/>
                      <w:szCs w:val="16"/>
                    </w:rPr>
                    <w:t>All industries go through periods of growth, maturity and decline. IBISWorld determines an industry's life cycle by considering its growth rate (measured by IVA) compared with GDP; the growth rate of the number of establishments; the amount of change the industry's products are undergoing; the rate of technological change; and the level of customer acceptance of industry products and services.</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NONEMPLOYING ESTABLISHMENT</w:t>
                  </w:r>
                  <w:r>
                    <w:br/>
                  </w:r>
                  <w:r>
                    <w:rPr>
                      <w:rFonts w:ascii="arial" w:eastAsia="arial" w:hAnsi="arial" w:cs="arial"/>
                      <w:b w:val="false"/>
                      <w:bCs w:val="false"/>
                      <w:i w:val="false"/>
                      <w:sz w:val="16"/>
                      <w:szCs w:val="16"/>
                    </w:rPr>
                    <w:t>Businesses with no paid employment or payroll, also known as nonemployers. These are mostly set up by self-employed individuals.</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PROFIT</w:t>
                  </w:r>
                  <w:r>
                    <w:br/>
                  </w:r>
                  <w:r>
                    <w:rPr>
                      <w:rFonts w:ascii="arial" w:eastAsia="arial" w:hAnsi="arial" w:cs="arial"/>
                      <w:b w:val="false"/>
                      <w:bCs w:val="false"/>
                      <w:i w:val="false"/>
                      <w:sz w:val="16"/>
                      <w:szCs w:val="16"/>
                    </w:rPr>
                    <w:t>IBISWorld uses earnings before interest and tax (EBIT) as an indicator of a company’s profitability. It is calculated as revenue minus expenses, excluding interest and tax.</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REGIONS</w:t>
                  </w:r>
                  <w:r>
                    <w:br/>
                  </w:r>
                  <w:r>
                    <w:rPr>
                      <w:rFonts w:ascii="arial" w:eastAsia="arial" w:hAnsi="arial" w:cs="arial"/>
                      <w:b w:val="false"/>
                      <w:bCs w:val="false"/>
                      <w:i w:val="false"/>
                      <w:sz w:val="16"/>
                      <w:szCs w:val="16"/>
                    </w:rPr>
                    <w:t>West | CA, NV, OR, WA, HI, AK</w:t>
                  </w:r>
                  <w:r>
                    <w:br/>
                  </w:r>
                  <w:r>
                    <w:rPr>
                      <w:rFonts w:ascii="arial" w:eastAsia="arial" w:hAnsi="arial" w:cs="arial"/>
                      <w:b w:val="false"/>
                      <w:bCs w:val="false"/>
                      <w:i w:val="false"/>
                      <w:sz w:val="16"/>
                      <w:szCs w:val="16"/>
                    </w:rPr>
                    <w:t>Great Lakes | OH, IN, IL, WI, MI</w:t>
                  </w:r>
                  <w:r>
                    <w:br/>
                  </w:r>
                  <w:r>
                    <w:rPr>
                      <w:rFonts w:ascii="arial" w:eastAsia="arial" w:hAnsi="arial" w:cs="arial"/>
                      <w:b w:val="false"/>
                      <w:bCs w:val="false"/>
                      <w:i w:val="false"/>
                      <w:sz w:val="16"/>
                      <w:szCs w:val="16"/>
                    </w:rPr>
                    <w:t>Mid-Atlantic | NY, NJ, PA, DE, MD</w:t>
                  </w:r>
                  <w:r>
                    <w:br/>
                  </w:r>
                  <w:r>
                    <w:rPr>
                      <w:rFonts w:ascii="arial" w:eastAsia="arial" w:hAnsi="arial" w:cs="arial"/>
                      <w:b w:val="false"/>
                      <w:bCs w:val="false"/>
                      <w:i w:val="false"/>
                      <w:sz w:val="16"/>
                      <w:szCs w:val="16"/>
                    </w:rPr>
                    <w:t>New England | ME, NH, VT, MA, CT, RI</w:t>
                  </w:r>
                  <w:r>
                    <w:br/>
                  </w:r>
                  <w:r>
                    <w:rPr>
                      <w:rFonts w:ascii="arial" w:eastAsia="arial" w:hAnsi="arial" w:cs="arial"/>
                      <w:b w:val="false"/>
                      <w:bCs w:val="false"/>
                      <w:i w:val="false"/>
                      <w:sz w:val="16"/>
                      <w:szCs w:val="16"/>
                    </w:rPr>
                    <w:t>Plains | MN, IA, MO, KS, NE, SD, ND</w:t>
                  </w:r>
                  <w:r>
                    <w:br/>
                  </w:r>
                  <w:r>
                    <w:rPr>
                      <w:rFonts w:ascii="arial" w:eastAsia="arial" w:hAnsi="arial" w:cs="arial"/>
                      <w:b w:val="false"/>
                      <w:bCs w:val="false"/>
                      <w:i w:val="false"/>
                      <w:sz w:val="16"/>
                      <w:szCs w:val="16"/>
                    </w:rPr>
                    <w:t>Rocky Mountains | CO, UT, WY, ID, MT</w:t>
                  </w:r>
                  <w:r>
                    <w:br/>
                  </w:r>
                  <w:r>
                    <w:rPr>
                      <w:rFonts w:ascii="arial" w:eastAsia="arial" w:hAnsi="arial" w:cs="arial"/>
                      <w:b w:val="false"/>
                      <w:bCs w:val="false"/>
                      <w:i w:val="false"/>
                      <w:sz w:val="16"/>
                      <w:szCs w:val="16"/>
                    </w:rPr>
                    <w:t>Southeast | VA, WV, KY, TN, AR, LA, MS, AL, GA, FL, SC, NC</w:t>
                  </w:r>
                  <w:r>
                    <w:br/>
                  </w:r>
                  <w:r>
                    <w:rPr>
                      <w:rFonts w:ascii="arial" w:eastAsia="arial" w:hAnsi="arial" w:cs="arial"/>
                      <w:b w:val="false"/>
                      <w:bCs w:val="false"/>
                      <w:i w:val="false"/>
                      <w:sz w:val="16"/>
                      <w:szCs w:val="16"/>
                    </w:rPr>
                    <w:t>Southwest | OK, TX, NM, AZ</w:t>
                  </w:r>
                </w:p>
                <w:p>
                  <w:pPr>
                    <w:spacing w:before="0" w:after="18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VOLATILITY</w:t>
                  </w:r>
                  <w:r>
                    <w:br/>
                  </w:r>
                  <w:r>
                    <w:rPr>
                      <w:rFonts w:ascii="arial" w:eastAsia="arial" w:hAnsi="arial" w:cs="arial"/>
                      <w:b w:val="false"/>
                      <w:bCs w:val="false"/>
                      <w:i w:val="false"/>
                      <w:sz w:val="16"/>
                      <w:szCs w:val="16"/>
                    </w:rPr>
                    <w:t>The level of volatility is determined by averaging the absolute change in revenue in each of the past five years. Volatility levels: very high is more than ±20%; high volatility is ±10% to ±20%; moderate volatility is ±3% to ±10%; and low volatility is less than ±3%.</w:t>
                  </w:r>
                </w:p>
                <w:p>
                  <w:pPr>
                    <w:spacing w:before="0" w:after="120" w:lineRule="atLeast" w:line="240"/>
                    <w:ind w:left="0" w:right="0" w:hanging="0"/>
                    <w:jc w:val="left"/>
                    <w:rPr>
                      <w:rFonts w:ascii="arial" w:eastAsia="arial" w:hAnsi="arial" w:cs="arial"/>
                      <w:b w:val="false"/>
                      <w:bCs w:val="false"/>
                      <w:i w:val="false"/>
                      <w:sz w:val="16"/>
                      <w:szCs w:val="16"/>
                    </w:rPr>
                  </w:pPr>
                  <w:r>
                    <w:rPr>
                      <w:rFonts w:ascii="arial" w:eastAsia="arial" w:hAnsi="arial" w:cs="arial"/>
                      <w:b/>
                      <w:bCs/>
                      <w:i w:val="false"/>
                      <w:sz w:val="18"/>
                      <w:szCs w:val="18"/>
                    </w:rPr>
                    <w:t>WAGES</w:t>
                  </w:r>
                  <w:r>
                    <w:br/>
                  </w:r>
                  <w:r>
                    <w:rPr>
                      <w:rFonts w:ascii="arial" w:eastAsia="arial" w:hAnsi="arial" w:cs="arial"/>
                      <w:b w:val="false"/>
                      <w:bCs w:val="false"/>
                      <w:i w:val="false"/>
                      <w:sz w:val="16"/>
                      <w:szCs w:val="16"/>
                    </w:rPr>
                    <w:t>The gross total wages and salaries of all employees in the industry.</w:t>
                  </w:r>
                </w:p>
              </w:tc>
            </w:tr>
          </w:tbl>
          <w:p>
            <w:pPr/>
          </w:p>
        </w:tc>
      </w:tr>
    </w:tbl>
    <w:p>
      <w:pPr>
        <w:sectPr>
          <w:headerReference w:type="default" r:id="gemHfRid94"/>
          <w:footerReference w:type="default" r:id="gemHfRid95"/>
          <w:pgSz w:w="11907" w:h="16839" w:code="9"/>
          <w:pgMar w:top="640" w:right="640" w:bottom="640" w:left="640" w:header="0" w:footer="0" w:gutter="0"/>
          <w:cols w:space="708"/>
          <w:docGrid w:linePitch="360"/>
        </w:sectPr>
      </w:pPr>
    </w:p>
    <w:tbl>
      <w:tblPr>
        <w:jc w:val="left"/>
        <w:tblCellSpacing w:w="30" w:type="dxa"/>
        <w:tblBorders>
          <w:top w:val="nil"/>
          <w:left w:val="nil"/>
          <w:bottom w:val="nil"/>
          <w:right w:val="nil"/>
          <w:insideH w:val="nil"/>
          <w:insideV w:val="nil"/>
        </w:tblBorders>
      </w:tblPr>
      <w:tr>
        <w:tc>
          <w:tcPr>
            <w:vAlign w:val="center"/>
          </w:tcPr>
          <w:p>
            <w:pPr>
              <w:spacing w:before="0" w:after="0" w:lineRule="atLeast" w:line="240"/>
              <w:ind w:hanging="0"/>
              <w:jc w:val="left"/>
              <w:rPr>
                <w:rFonts w:ascii="arial" w:eastAsia="arial" w:hAnsi="arial" w:cs="arial"/>
                <w:b w:val="false"/>
                <w:bCs w:val="false"/>
                <w:i w:val="false"/>
                <w:sz w:val="21"/>
                <w:szCs w:val="21"/>
              </w:rPr>
            </w:pPr>
            <w:r>
              <w:drawing>
                <wp:inline>
                  <wp:extent cx="1943100" cy="714375"/>
                  <wp:docPr id="163" name="Picture 163" descr="IBISWorld Logo"/>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PictureId68" cstate="print"/>
                          <a:stretch>
                            <a:fillRect/>
                          </a:stretch>
                        </pic:blipFill>
                        <pic:spPr>
                          <a:xfrm>
                            <a:off x="0" y="0"/>
                            <a:ext cx="1943100" cy="714375"/>
                          </a:xfrm>
                          <a:prstGeom prst="rect">
                            <a:avLst/>
                          </a:prstGeom>
                        </pic:spPr>
                      </pic:pic>
                    </a:graphicData>
                  </a:graphic>
                </wp:inline>
              </w:drawing>
            </w:r>
          </w:p>
        </w:tc>
      </w:tr>
      <w:tr>
        <w:tc>
          <w:tcPr>
            <w:vAlign w:val="center"/>
          </w:tcPr>
          <w:p>
            <w:pPr>
              <w:spacing w:before="0" w:after="0" w:lineRule="atLeast" w:line="240"/>
              <w:ind w:hanging="0"/>
              <w:jc w:val="left"/>
              <w:rPr>
                <w:rFonts w:ascii="arial" w:eastAsia="arial" w:hAnsi="arial" w:cs="arial"/>
                <w:b w:val="false"/>
                <w:bCs w:val="false"/>
                <w:i w:val="false"/>
                <w:sz w:val="21"/>
                <w:szCs w:val="21"/>
              </w:rPr>
            </w:pPr>
          </w:p>
        </w:tc>
      </w:tr>
      <w:tr>
        <w:tc>
          <w:tcPr>
            <w:tcMar>
              <w:top w:w="0" w:type="dxa"/>
              <w:left w:w="0" w:type="dxa"/>
              <w:bottom w:w="120" w:type="dxa"/>
              <w:right w:w="0" w:type="dxa"/>
            </w:tcMar>
            <w:vAlign w:val="center"/>
          </w:tcPr>
          <w:p>
            <w:pPr>
              <w:spacing w:before="0" w:after="0" w:lineRule="atLeast" w:line="360"/>
              <w:ind w:hanging="0"/>
              <w:jc w:val="left"/>
              <w:rPr>
                <w:rFonts w:ascii="arial" w:eastAsia="arial" w:hAnsi="arial" w:cs="arial"/>
                <w:b w:val="false"/>
                <w:bCs w:val="false"/>
                <w:i w:val="false"/>
                <w:sz w:val="21"/>
                <w:szCs w:val="21"/>
              </w:rPr>
            </w:pPr>
            <w:r>
              <w:rPr>
                <w:rFonts w:ascii="arial" w:eastAsia="arial" w:hAnsi="arial" w:cs="arial"/>
                <w:b/>
                <w:bCs/>
                <w:i w:val="false"/>
                <w:color w:val="FFFFFF"/>
                <w:spacing w:val="-8"/>
                <w:sz w:val="54"/>
                <w:szCs w:val="54"/>
              </w:rPr>
              <w:t>IBISWorld helps you find the industry information you need – fast.</w:t>
            </w:r>
          </w:p>
        </w:tc>
      </w:tr>
      <w:tr>
        <w:tc>
          <w:tcPr>
            <w:vAlign w:val="center"/>
          </w:tcPr>
          <w:p>
            <w:pPr>
              <w:spacing w:before="0" w:after="0" w:lineRule="atLeast" w:line="240"/>
              <w:ind w:hanging="0"/>
              <w:jc w:val="left"/>
              <w:rPr>
                <w:rFonts w:ascii="arial" w:eastAsia="arial" w:hAnsi="arial" w:cs="arial"/>
                <w:b w:val="false"/>
                <w:bCs w:val="false"/>
                <w:i w:val="false"/>
                <w:sz w:val="21"/>
                <w:szCs w:val="21"/>
              </w:rPr>
            </w:pPr>
            <w:r>
              <w:drawing>
                <wp:inline>
                  <wp:extent cx="952500" cy="38100"/>
                  <wp:docPr id="165" name="Picture 165" descr="Divide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PictureId69" cstate="print"/>
                          <a:stretch>
                            <a:fillRect/>
                          </a:stretch>
                        </pic:blipFill>
                        <pic:spPr>
                          <a:xfrm>
                            <a:off x="0" y="0"/>
                            <a:ext cx="952500" cy="38100"/>
                          </a:xfrm>
                          <a:prstGeom prst="rect">
                            <a:avLst/>
                          </a:prstGeom>
                        </pic:spPr>
                      </pic:pic>
                    </a:graphicData>
                  </a:graphic>
                </wp:inline>
              </w:drawing>
            </w:r>
          </w:p>
        </w:tc>
      </w:tr>
      <w:tr>
        <w:tc>
          <w:tcPr>
            <w:vAlign w:val="center"/>
          </w:tcPr>
          <w:p>
            <w:pPr>
              <w:spacing w:before="0" w:after="0" w:lineRule="atLeast" w:line="240"/>
              <w:ind w:hanging="0"/>
              <w:jc w:val="left"/>
              <w:rPr>
                <w:rFonts w:ascii="arial" w:eastAsia="arial" w:hAnsi="arial" w:cs="arial"/>
                <w:b w:val="false"/>
                <w:bCs w:val="false"/>
                <w:i w:val="false"/>
                <w:sz w:val="21"/>
                <w:szCs w:val="21"/>
              </w:rPr>
            </w:pPr>
          </w:p>
        </w:tc>
      </w:tr>
      <w:tr>
        <w:trPr>
          <w:trHeight w:hRule="atLeast" w:val="7500"/>
        </w:trPr>
        <w:tc>
          <w:tcPr>
            <w:vAlign w:val="top"/>
          </w:tcPr>
          <w:p>
            <w:pPr>
              <w:spacing w:before="0" w:after="0" w:lineRule="atLeast" w:line="300"/>
              <w:ind w:hanging="0"/>
              <w:jc w:val="left"/>
              <w:rPr>
                <w:rFonts w:ascii="arial" w:eastAsia="arial" w:hAnsi="arial" w:cs="arial"/>
                <w:b w:val="false"/>
                <w:bCs w:val="false"/>
                <w:i w:val="false"/>
                <w:sz w:val="21"/>
                <w:szCs w:val="21"/>
              </w:rPr>
            </w:pPr>
            <w:r>
              <w:rPr>
                <w:rFonts w:ascii="arial" w:eastAsia="arial" w:hAnsi="arial" w:cs="arial"/>
                <w:b w:val="false"/>
                <w:bCs w:val="false"/>
                <w:i w:val="false"/>
                <w:color w:val="FFFFFF"/>
                <w:sz w:val="24"/>
                <w:szCs w:val="24"/>
              </w:rPr>
              <w:t>With our trusted research covering thousands of global industries, you’ll get a quick and intelligent overview of any industry so you can get up to speed in minutes. In every report, you’ll find actionable insights, comprehensive data and in-depth analysis to help you make smarter, faster business decisions. If you’re not yet a member of IBISWorld, contact us at 1-800-330-3772 or info@ibisworld.com to learn more.</w:t>
            </w:r>
          </w:p>
        </w:tc>
      </w:tr>
      <w:tr>
        <w:tc>
          <w:tcPr>
            <w:vAlign w:val="center"/>
          </w:tcPr>
          <w:p>
            <w:pPr>
              <w:spacing w:before="0" w:after="0" w:lineRule="atLeast" w:line="240"/>
              <w:ind w:left="0" w:right="0" w:hanging="0"/>
              <w:jc w:val="left"/>
              <w:rPr>
                <w:rFonts w:ascii="arial" w:eastAsia="arial" w:hAnsi="arial" w:cs="arial"/>
                <w:b w:val="false"/>
                <w:bCs w:val="false"/>
                <w:i w:val="false"/>
                <w:color w:val="FFFFFF"/>
                <w:sz w:val="21"/>
                <w:szCs w:val="21"/>
              </w:rPr>
            </w:pPr>
            <w:r>
              <w:rPr>
                <w:rFonts w:ascii="arial" w:eastAsia="arial" w:hAnsi="arial" w:cs="arial"/>
                <w:b w:val="false"/>
                <w:bCs w:val="false"/>
                <w:i w:val="false"/>
                <w:color w:val="FFFFFF"/>
                <w:sz w:val="21"/>
                <w:szCs w:val="21"/>
              </w:rPr>
              <w:t>DISCLAIMER</w:t>
            </w:r>
          </w:p>
          <w:p>
            <w:pPr>
              <w:spacing w:before="0" w:after="0" w:lineRule="atLeast" w:line="240"/>
              <w:ind w:left="0" w:right="0" w:hanging="0"/>
              <w:jc w:val="left"/>
              <w:rPr>
                <w:rFonts w:ascii="arial" w:eastAsia="arial" w:hAnsi="arial" w:cs="arial"/>
                <w:b w:val="false"/>
                <w:bCs w:val="false"/>
                <w:i w:val="false"/>
                <w:color w:val="FFFFFF"/>
                <w:sz w:val="21"/>
                <w:szCs w:val="21"/>
              </w:rPr>
            </w:pPr>
            <w:r>
              <w:rPr>
                <w:rFonts w:ascii="arial" w:eastAsia="arial" w:hAnsi="arial" w:cs="arial"/>
                <w:b w:val="false"/>
                <w:bCs w:val="false"/>
                <w:i w:val="false"/>
                <w:color w:val="FFFFFF"/>
                <w:sz w:val="21"/>
                <w:szCs w:val="21"/>
              </w:rPr>
              <w:t>This product has been supplied by IBISWorld Inc. (‘IBISWorld’) solely for use by its authorized licenses strictly in accordance with their license agreements with IBISWorld. IBISWorld makes no representation to any other person with regard to the completeness or accuracy of the data or information contained herein, and it accepts no responsibility and disclaims all liability (save for liability which cannot be lawfully disclaimed) for loss or damage whatsoever suffered or incurred by any other person resulting from the use of, or reliance upon, the data or information contained herein. Copyright in this publication is owned by IBISWorld Inc. The publication is sold on the basis that the purchaser agrees not to copy the material contained within it for other than the purchasers own purposes. In the event that the purchaser uses or quotes from the material in this publication – in papers, reports, or opinions prepared for any other person – it is agreed that it will be sourced to: IBISWorld Inc.</w:t>
            </w:r>
          </w:p>
          <w:p>
            <w:pPr>
              <w:spacing w:before="0" w:after="0" w:lineRule="atLeast" w:line="240"/>
              <w:ind w:hanging="0"/>
              <w:jc w:val="left"/>
              <w:rPr>
                <w:rFonts w:ascii="arial" w:eastAsia="arial" w:hAnsi="arial" w:cs="arial"/>
                <w:b w:val="false"/>
                <w:bCs w:val="false"/>
                <w:i w:val="false"/>
                <w:color w:val="FFFFFF"/>
                <w:sz w:val="21"/>
                <w:szCs w:val="21"/>
              </w:rPr>
            </w:pPr>
          </w:p>
          <w:p>
            <w:pPr>
              <w:spacing w:before="0" w:after="0" w:lineRule="atLeast" w:line="240"/>
              <w:ind w:left="0" w:right="0" w:hanging="0"/>
              <w:jc w:val="left"/>
              <w:rPr>
                <w:rFonts w:ascii="arial" w:eastAsia="arial" w:hAnsi="arial" w:cs="arial"/>
                <w:b w:val="false"/>
                <w:bCs w:val="false"/>
                <w:i w:val="false"/>
                <w:color w:val="FFFFFF"/>
                <w:sz w:val="21"/>
                <w:szCs w:val="21"/>
              </w:rPr>
            </w:pPr>
            <w:r>
              <w:rPr>
                <w:rFonts w:ascii="arial" w:eastAsia="arial" w:hAnsi="arial" w:cs="arial"/>
                <w:b w:val="false"/>
                <w:bCs w:val="false"/>
                <w:i w:val="false"/>
                <w:color w:val="FFFFFF"/>
                <w:sz w:val="21"/>
                <w:szCs w:val="21"/>
              </w:rPr>
              <w:t>Copyright 2020 IBISWorld Inc.</w:t>
            </w:r>
          </w:p>
        </w:tc>
      </w:tr>
    </w:tbl>
    <w:p>
      <w:pPr/>
    </w:p>
    <w:p>
      <w:pPr/>
      <w:r>
        <w:t xml:space="preserve"> </w:t>
      </w:r>
      <w:r>
        <w:drawing>
          <wp:anchor distT="0" distB="0" distL="115200" distR="115200" simplePos="false" relativeHeight="251659264" behindDoc="true" locked="false" layoutInCell="true" allowOverlap="true">
            <wp:simplePos x="0" y="0"/>
            <wp:positionH relativeFrom="page">
              <wp:align>left</wp:align>
            </wp:positionH>
            <wp:positionV relativeFrom="page">
              <wp:posOffset>-914400</wp:posOffset>
            </wp:positionV>
            <wp:extent cx="11430000" cy="12382500"/>
            <wp:wrapNone/>
            <wp:docPr id="167" name="Picture 167"/>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PictureId70" cstate="print"/>
                    <a:stretch>
                      <a:fillRect/>
                    </a:stretch>
                  </pic:blipFill>
                  <pic:spPr>
                    <a:xfrm>
                      <a:off x="0" y="0"/>
                      <a:ext cx="11430000" cy="12382500"/>
                    </a:xfrm>
                    <a:prstGeom prst="rect">
                      <a:avLst/>
                    </a:prstGeom>
                  </pic:spPr>
                </pic:pic>
              </a:graphicData>
            </a:graphic>
          </wp:anchor>
        </w:drawing>
      </w:r>
    </w:p>
    <w:sectPr>
      <w:headerReference w:type="default" r:id="gemHfRid99"/>
      <w:footerReference w:type="default" r:id="gemHfRid100"/>
      <w:pgSz w:w="11907" w:h="16839" w:code="9"/>
      <w:pgMar w:top="800" w:right="640" w:bottom="0" w:left="64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W w:w="5000" w:type="pct"/>
      <w:tblLayout w:type="fixed"/>
    </w:tblPr>
    <w:tr>
      <w:trPr>
        <w:trHeight w:hRule="exact" w:val="800"/>
      </w:trPr>
      <w:tc>
        <w:tcPr>
          <w:tcW w:w="1750" w:type="pct"/>
          <w:tcBorders>
            <w:top w:val="single" w:sz="8" w:color="646464"/>
          </w:tcBorders>
          <w:shd w:val="clear" w:fill="FFFFFF"/>
          <w:vAlign w:val="center"/>
        </w:tcPr>
        <w:p>
          <w:pPr>
            <w:jc w:val="left"/>
          </w:pPr>
          <w:r>
            <w:rPr>
              <w:rFonts w:ascii="Arial" w:eastAsia="Arial" w:hAnsi="Arial" w:cs="Arial"/>
              <w:b w:val="false"/>
              <w:bCs w:val="false"/>
              <w:color w:val="646464"/>
              <w:sz w:val="20"/>
              <w:szCs w:val="20"/>
            </w:rPr>
            <w:t>IBISWorld.com</w:t>
          </w:r>
        </w:p>
      </w:tc>
      <w:tc>
        <w:tcPr>
          <w:tcW w:w="1500" w:type="pct"/>
          <w:tcBorders>
            <w:top w:val="single" w:sz="8" w:color="646464"/>
          </w:tcBorders>
          <w:shd w:val="clear" w:fill="FFFFFF"/>
          <w:vAlign w:val="center"/>
        </w:tcPr>
        <w:p>
          <w:pPr>
            <w:jc w:val="center"/>
          </w:pPr>
          <w:r>
            <w:rPr>
              <w:rFonts w:ascii="Arial" w:eastAsia="Arial" w:hAnsi="Arial" w:cs="Arial"/>
              <w:b w:val="false"/>
              <w:bCs w:val="false"/>
              <w:color w:val="646464"/>
              <w:sz w:val="20"/>
              <w:szCs w:val="20"/>
            </w:rPr>
            <w:t>1-800-330-3772</w:t>
          </w:r>
        </w:p>
      </w:tc>
      <w:tc>
        <w:tcPr>
          <w:tcW w:w="1750" w:type="pct"/>
          <w:tcBorders>
            <w:top w:val="single" w:sz="8" w:color="646464"/>
          </w:tcBorders>
          <w:shd w:val="clear" w:fill="FFFFFF"/>
          <w:vAlign w:val="center"/>
        </w:tcPr>
        <w:p>
          <w:pPr>
            <w:jc w:val="right"/>
          </w:pPr>
          <w:r>
            <w:rPr>
              <w:rFonts w:ascii="Arial" w:eastAsia="Arial" w:hAnsi="Arial" w:cs="Arial"/>
              <w:b w:val="false"/>
              <w:bCs w:val="false"/>
              <w:color w:val="646464"/>
              <w:sz w:val="20"/>
              <w:szCs w:val="20"/>
            </w:rPr>
            <w:t>info@IBISWorld.com</w:t>
          </w:r>
        </w:p>
      </w:tc>
    </w:tr>
  </w:tbl>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W w:w="5000" w:type="pct"/>
      <w:tblLayout w:type="fixed"/>
    </w:tblPr>
    <w:tr>
      <w:trPr>
        <w:trHeight w:hRule="exact" w:val="760"/>
      </w:trPr>
      <w:tc>
        <w:tcPr>
          <w:tcW w:w="2500" w:type="pct"/>
          <w:shd w:val="clear" w:fill="FFFFFF"/>
          <w:vAlign w:val="center"/>
        </w:tcPr>
        <w:p>
          <w:pPr>
            <w:jc w:val="left"/>
          </w:pPr>
          <w:r>
            <w:rPr>
              <w:rFonts w:ascii="Arial" w:eastAsia="Arial" w:hAnsi="Arial" w:cs="Arial"/>
              <w:b w:val="false"/>
              <w:bCs w:val="false"/>
              <w:color w:val="646464"/>
              <w:sz w:val="20"/>
              <w:szCs w:val="20"/>
            </w:rPr>
            <w:fldChar w:fldCharType="begin"/>
          </w:r>
          <w:r>
            <w:rPr>
              <w:rFonts w:ascii="Arial" w:eastAsia="Arial" w:hAnsi="Arial" w:cs="Arial"/>
              <w:b w:val="false"/>
              <w:bCs w:val="false"/>
              <w:color w:val="646464"/>
              <w:sz w:val="20"/>
              <w:szCs w:val="20"/>
            </w:rPr>
            <w:instrText xml:space="preserve">PAGE </w:instrText>
          </w:r>
          <w:r>
            <w:rPr>
              <w:rFonts w:ascii="Arial" w:eastAsia="Arial" w:hAnsi="Arial" w:cs="Arial"/>
              <w:b w:val="false"/>
              <w:bCs w:val="false"/>
              <w:color w:val="646464"/>
              <w:sz w:val="20"/>
              <w:szCs w:val="20"/>
            </w:rPr>
            <w:fldChar w:fldCharType="separate"/>
          </w:r>
          <w:r>
            <w:rPr>
              <w:rFonts w:ascii="Arial" w:eastAsia="Arial" w:hAnsi="Arial" w:cs="Arial"/>
              <w:b w:val="false"/>
              <w:bCs w:val="false"/>
              <w:color w:val="646464"/>
              <w:sz w:val="20"/>
              <w:szCs w:val="20"/>
            </w:rPr>
            <w:t>20</w:t>
          </w:r>
          <w:r>
            <w:rPr>
              <w:rFonts w:ascii="Arial" w:eastAsia="Arial" w:hAnsi="Arial" w:cs="Arial"/>
              <w:b w:val="false"/>
              <w:bCs w:val="false"/>
              <w:color w:val="646464"/>
              <w:sz w:val="20"/>
              <w:szCs w:val="20"/>
            </w:rPr>
            <w:fldChar w:fldCharType="end"/>
          </w:r>
        </w:p>
      </w:tc>
      <w:tc>
        <w:tcPr>
          <w:tcW w:w="2500" w:type="pct"/>
          <w:shd w:val="clear" w:fill="FFFFFF"/>
          <w:vAlign w:val="center"/>
        </w:tcPr>
        <w:p>
          <w:pPr>
            <w:jc w:val="right"/>
          </w:pPr>
          <w:r>
            <w:rPr>
              <w:rFonts w:ascii="Arial" w:eastAsia="Arial" w:hAnsi="Arial" w:cs="Arial"/>
              <w:b w:val="false"/>
              <w:bCs w:val="false"/>
              <w:color w:val="646464"/>
              <w:sz w:val="20"/>
              <w:szCs w:val="20"/>
            </w:rPr>
            <w:t>IBISWorld.com</w:t>
          </w: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W w:w="5000" w:type="pct"/>
      <w:tblLayout w:type="fixed"/>
    </w:tblPr>
    <w:tr>
      <w:trPr>
        <w:trHeight w:hRule="exact" w:val="760"/>
      </w:trPr>
      <w:tc>
        <w:tcPr>
          <w:tcW w:w="2500" w:type="pct"/>
          <w:shd w:val="clear" w:fill="FFFFFF"/>
          <w:vAlign w:val="center"/>
        </w:tcPr>
        <w:p>
          <w:pPr>
            <w:jc w:val="left"/>
          </w:pPr>
          <w:r>
            <w:rPr>
              <w:rFonts w:ascii="Arial" w:eastAsia="Arial" w:hAnsi="Arial" w:cs="Arial"/>
              <w:b w:val="false"/>
              <w:bCs w:val="false"/>
              <w:color w:val="646464"/>
              <w:sz w:val="20"/>
              <w:szCs w:val="20"/>
            </w:rPr>
            <w:fldChar w:fldCharType="begin"/>
          </w:r>
          <w:r>
            <w:rPr>
              <w:rFonts w:ascii="Arial" w:eastAsia="Arial" w:hAnsi="Arial" w:cs="Arial"/>
              <w:b w:val="false"/>
              <w:bCs w:val="false"/>
              <w:color w:val="646464"/>
              <w:sz w:val="20"/>
              <w:szCs w:val="20"/>
            </w:rPr>
            <w:instrText xml:space="preserve">PAGE </w:instrText>
          </w:r>
          <w:r>
            <w:rPr>
              <w:rFonts w:ascii="Arial" w:eastAsia="Arial" w:hAnsi="Arial" w:cs="Arial"/>
              <w:b w:val="false"/>
              <w:bCs w:val="false"/>
              <w:color w:val="646464"/>
              <w:sz w:val="20"/>
              <w:szCs w:val="20"/>
            </w:rPr>
            <w:fldChar w:fldCharType="separate"/>
          </w:r>
          <w:r>
            <w:rPr>
              <w:rFonts w:ascii="Arial" w:eastAsia="Arial" w:hAnsi="Arial" w:cs="Arial"/>
              <w:b w:val="false"/>
              <w:bCs w:val="false"/>
              <w:color w:val="646464"/>
              <w:sz w:val="20"/>
              <w:szCs w:val="20"/>
            </w:rPr>
            <w:t>26</w:t>
          </w:r>
          <w:r>
            <w:rPr>
              <w:rFonts w:ascii="Arial" w:eastAsia="Arial" w:hAnsi="Arial" w:cs="Arial"/>
              <w:b w:val="false"/>
              <w:bCs w:val="false"/>
              <w:color w:val="646464"/>
              <w:sz w:val="20"/>
              <w:szCs w:val="20"/>
            </w:rPr>
            <w:fldChar w:fldCharType="end"/>
          </w:r>
        </w:p>
      </w:tc>
      <w:tc>
        <w:tcPr>
          <w:tcW w:w="2500" w:type="pct"/>
          <w:shd w:val="clear" w:fill="FFFFFF"/>
          <w:vAlign w:val="center"/>
        </w:tcPr>
        <w:p>
          <w:pPr>
            <w:jc w:val="right"/>
          </w:pPr>
          <w:r>
            <w:rPr>
              <w:rFonts w:ascii="Arial" w:eastAsia="Arial" w:hAnsi="Arial" w:cs="Arial"/>
              <w:b w:val="false"/>
              <w:bCs w:val="false"/>
              <w:color w:val="646464"/>
              <w:sz w:val="20"/>
              <w:szCs w:val="20"/>
            </w:rPr>
            <w:t>IBISWorld.com</w:t>
          </w: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W w:w="5000" w:type="pct"/>
      <w:tblLayout w:type="fixed"/>
    </w:tblPr>
    <w:tr>
      <w:trPr>
        <w:trHeight w:hRule="exact" w:val="760"/>
      </w:trPr>
      <w:tc>
        <w:tcPr>
          <w:tcW w:w="2500" w:type="pct"/>
          <w:shd w:val="clear" w:fill="FFFFFF"/>
          <w:vAlign w:val="center"/>
        </w:tcPr>
        <w:p>
          <w:pPr>
            <w:jc w:val="left"/>
          </w:pPr>
          <w:r>
            <w:rPr>
              <w:rFonts w:ascii="Arial" w:eastAsia="Arial" w:hAnsi="Arial" w:cs="Arial"/>
              <w:b w:val="false"/>
              <w:bCs w:val="false"/>
              <w:color w:val="646464"/>
              <w:sz w:val="20"/>
              <w:szCs w:val="20"/>
            </w:rPr>
            <w:fldChar w:fldCharType="begin"/>
          </w:r>
          <w:r>
            <w:rPr>
              <w:rFonts w:ascii="Arial" w:eastAsia="Arial" w:hAnsi="Arial" w:cs="Arial"/>
              <w:b w:val="false"/>
              <w:bCs w:val="false"/>
              <w:color w:val="646464"/>
              <w:sz w:val="20"/>
              <w:szCs w:val="20"/>
            </w:rPr>
            <w:instrText xml:space="preserve">PAGE </w:instrText>
          </w:r>
          <w:r>
            <w:rPr>
              <w:rFonts w:ascii="Arial" w:eastAsia="Arial" w:hAnsi="Arial" w:cs="Arial"/>
              <w:b w:val="false"/>
              <w:bCs w:val="false"/>
              <w:color w:val="646464"/>
              <w:sz w:val="20"/>
              <w:szCs w:val="20"/>
            </w:rPr>
            <w:fldChar w:fldCharType="separate"/>
          </w:r>
          <w:r>
            <w:rPr>
              <w:rFonts w:ascii="Arial" w:eastAsia="Arial" w:hAnsi="Arial" w:cs="Arial"/>
              <w:b w:val="false"/>
              <w:bCs w:val="false"/>
              <w:color w:val="646464"/>
              <w:sz w:val="20"/>
              <w:szCs w:val="20"/>
            </w:rPr>
            <w:t>28</w:t>
          </w:r>
          <w:r>
            <w:rPr>
              <w:rFonts w:ascii="Arial" w:eastAsia="Arial" w:hAnsi="Arial" w:cs="Arial"/>
              <w:b w:val="false"/>
              <w:bCs w:val="false"/>
              <w:color w:val="646464"/>
              <w:sz w:val="20"/>
              <w:szCs w:val="20"/>
            </w:rPr>
            <w:fldChar w:fldCharType="end"/>
          </w:r>
        </w:p>
      </w:tc>
      <w:tc>
        <w:tcPr>
          <w:tcW w:w="2500" w:type="pct"/>
          <w:shd w:val="clear" w:fill="FFFFFF"/>
          <w:vAlign w:val="center"/>
        </w:tcPr>
        <w:p>
          <w:pPr>
            <w:jc w:val="right"/>
          </w:pPr>
          <w:r>
            <w:rPr>
              <w:rFonts w:ascii="Arial" w:eastAsia="Arial" w:hAnsi="Arial" w:cs="Arial"/>
              <w:b w:val="false"/>
              <w:bCs w:val="false"/>
              <w:color w:val="646464"/>
              <w:sz w:val="20"/>
              <w:szCs w:val="20"/>
            </w:rPr>
            <w:t>IBISWorld.com</w:t>
          </w: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W w:w="5000" w:type="pct"/>
      <w:tblLayout w:type="fixed"/>
    </w:tblPr>
    <w:tr>
      <w:trPr>
        <w:trHeight w:hRule="exact" w:val="760"/>
      </w:trPr>
      <w:tc>
        <w:tcPr>
          <w:tcW w:w="2500" w:type="pct"/>
          <w:shd w:val="clear" w:fill="FFFFFF"/>
          <w:vAlign w:val="center"/>
        </w:tcPr>
        <w:p>
          <w:pPr>
            <w:jc w:val="left"/>
          </w:pPr>
          <w:r>
            <w:rPr>
              <w:rFonts w:ascii="Arial" w:eastAsia="Arial" w:hAnsi="Arial" w:cs="Arial"/>
              <w:b w:val="false"/>
              <w:bCs w:val="false"/>
              <w:color w:val="646464"/>
              <w:sz w:val="20"/>
              <w:szCs w:val="20"/>
            </w:rPr>
            <w:fldChar w:fldCharType="begin"/>
          </w:r>
          <w:r>
            <w:rPr>
              <w:rFonts w:ascii="Arial" w:eastAsia="Arial" w:hAnsi="Arial" w:cs="Arial"/>
              <w:b w:val="false"/>
              <w:bCs w:val="false"/>
              <w:color w:val="646464"/>
              <w:sz w:val="20"/>
              <w:szCs w:val="20"/>
            </w:rPr>
            <w:instrText xml:space="preserve">PAGE </w:instrText>
          </w:r>
          <w:r>
            <w:rPr>
              <w:rFonts w:ascii="Arial" w:eastAsia="Arial" w:hAnsi="Arial" w:cs="Arial"/>
              <w:b w:val="false"/>
              <w:bCs w:val="false"/>
              <w:color w:val="646464"/>
              <w:sz w:val="20"/>
              <w:szCs w:val="20"/>
            </w:rPr>
            <w:fldChar w:fldCharType="separate"/>
          </w:r>
          <w:r>
            <w:rPr>
              <w:rFonts w:ascii="Arial" w:eastAsia="Arial" w:hAnsi="Arial" w:cs="Arial"/>
              <w:b w:val="false"/>
              <w:bCs w:val="false"/>
              <w:color w:val="646464"/>
              <w:sz w:val="20"/>
              <w:szCs w:val="20"/>
            </w:rPr>
            <w:t>32</w:t>
          </w:r>
          <w:r>
            <w:rPr>
              <w:rFonts w:ascii="Arial" w:eastAsia="Arial" w:hAnsi="Arial" w:cs="Arial"/>
              <w:b w:val="false"/>
              <w:bCs w:val="false"/>
              <w:color w:val="646464"/>
              <w:sz w:val="20"/>
              <w:szCs w:val="20"/>
            </w:rPr>
            <w:fldChar w:fldCharType="end"/>
          </w:r>
        </w:p>
      </w:tc>
      <w:tc>
        <w:tcPr>
          <w:tcW w:w="2500" w:type="pct"/>
          <w:shd w:val="clear" w:fill="FFFFFF"/>
          <w:vAlign w:val="center"/>
        </w:tcPr>
        <w:p>
          <w:pPr>
            <w:jc w:val="right"/>
          </w:pPr>
          <w:r>
            <w:rPr>
              <w:rFonts w:ascii="Arial" w:eastAsia="Arial" w:hAnsi="Arial" w:cs="Arial"/>
              <w:b w:val="false"/>
              <w:bCs w:val="false"/>
              <w:color w:val="646464"/>
              <w:sz w:val="20"/>
              <w:szCs w:val="20"/>
            </w:rPr>
            <w:t>IBISWorld.com</w:t>
          </w: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W w:w="5000" w:type="pct"/>
      <w:tblLayout w:type="fixed"/>
    </w:tblPr>
    <w:tr>
      <w:trPr>
        <w:trHeight w:hRule="exact" w:val="760"/>
      </w:trPr>
      <w:tc>
        <w:tcPr>
          <w:tcW w:w="2500" w:type="pct"/>
          <w:shd w:val="clear" w:fill="FFFFFF"/>
          <w:vAlign w:val="center"/>
        </w:tcPr>
        <w:p>
          <w:pPr>
            <w:jc w:val="left"/>
          </w:pPr>
          <w:r>
            <w:rPr>
              <w:rFonts w:ascii="Arial" w:eastAsia="Arial" w:hAnsi="Arial" w:cs="Arial"/>
              <w:b w:val="false"/>
              <w:bCs w:val="false"/>
              <w:color w:val="646464"/>
              <w:sz w:val="20"/>
              <w:szCs w:val="20"/>
            </w:rPr>
            <w:fldChar w:fldCharType="begin"/>
          </w:r>
          <w:r>
            <w:rPr>
              <w:rFonts w:ascii="Arial" w:eastAsia="Arial" w:hAnsi="Arial" w:cs="Arial"/>
              <w:b w:val="false"/>
              <w:bCs w:val="false"/>
              <w:color w:val="646464"/>
              <w:sz w:val="20"/>
              <w:szCs w:val="20"/>
            </w:rPr>
            <w:instrText xml:space="preserve">PAGE </w:instrText>
          </w:r>
          <w:r>
            <w:rPr>
              <w:rFonts w:ascii="Arial" w:eastAsia="Arial" w:hAnsi="Arial" w:cs="Arial"/>
              <w:b w:val="false"/>
              <w:bCs w:val="false"/>
              <w:color w:val="646464"/>
              <w:sz w:val="20"/>
              <w:szCs w:val="20"/>
            </w:rPr>
            <w:fldChar w:fldCharType="separate"/>
          </w:r>
          <w:r>
            <w:rPr>
              <w:rFonts w:ascii="Arial" w:eastAsia="Arial" w:hAnsi="Arial" w:cs="Arial"/>
              <w:b w:val="false"/>
              <w:bCs w:val="false"/>
              <w:color w:val="646464"/>
              <w:sz w:val="20"/>
              <w:szCs w:val="20"/>
            </w:rPr>
            <w:t>34</w:t>
          </w:r>
          <w:r>
            <w:rPr>
              <w:rFonts w:ascii="Arial" w:eastAsia="Arial" w:hAnsi="Arial" w:cs="Arial"/>
              <w:b w:val="false"/>
              <w:bCs w:val="false"/>
              <w:color w:val="646464"/>
              <w:sz w:val="20"/>
              <w:szCs w:val="20"/>
            </w:rPr>
            <w:fldChar w:fldCharType="end"/>
          </w:r>
        </w:p>
      </w:tc>
      <w:tc>
        <w:tcPr>
          <w:tcW w:w="2500" w:type="pct"/>
          <w:shd w:val="clear" w:fill="FFFFFF"/>
          <w:vAlign w:val="center"/>
        </w:tcPr>
        <w:p>
          <w:pPr>
            <w:jc w:val="right"/>
          </w:pPr>
          <w:r>
            <w:rPr>
              <w:rFonts w:ascii="Arial" w:eastAsia="Arial" w:hAnsi="Arial" w:cs="Arial"/>
              <w:b w:val="false"/>
              <w:bCs w:val="false"/>
              <w:color w:val="646464"/>
              <w:sz w:val="20"/>
              <w:szCs w:val="20"/>
            </w:rPr>
            <w:t>IBISWorld.com</w:t>
          </w: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W w:w="5000" w:type="pct"/>
      <w:tblLayout w:type="fixed"/>
    </w:tblPr>
    <w:tr>
      <w:trPr>
        <w:trHeight w:hRule="exact" w:val="760"/>
      </w:trPr>
      <w:tc>
        <w:tcPr>
          <w:tcW w:w="2500" w:type="pct"/>
          <w:shd w:val="clear" w:fill="FFFFFF"/>
          <w:vAlign w:val="center"/>
        </w:tcPr>
        <w:p>
          <w:pPr>
            <w:jc w:val="left"/>
          </w:pPr>
          <w:r>
            <w:rPr>
              <w:rFonts w:ascii="Arial" w:eastAsia="Arial" w:hAnsi="Arial" w:cs="Arial"/>
              <w:b w:val="false"/>
              <w:bCs w:val="false"/>
              <w:color w:val="646464"/>
              <w:sz w:val="20"/>
              <w:szCs w:val="20"/>
            </w:rPr>
            <w:fldChar w:fldCharType="begin"/>
          </w:r>
          <w:r>
            <w:rPr>
              <w:rFonts w:ascii="Arial" w:eastAsia="Arial" w:hAnsi="Arial" w:cs="Arial"/>
              <w:b w:val="false"/>
              <w:bCs w:val="false"/>
              <w:color w:val="646464"/>
              <w:sz w:val="20"/>
              <w:szCs w:val="20"/>
            </w:rPr>
            <w:instrText xml:space="preserve">PAGE </w:instrText>
          </w:r>
          <w:r>
            <w:rPr>
              <w:rFonts w:ascii="Arial" w:eastAsia="Arial" w:hAnsi="Arial" w:cs="Arial"/>
              <w:b w:val="false"/>
              <w:bCs w:val="false"/>
              <w:color w:val="646464"/>
              <w:sz w:val="20"/>
              <w:szCs w:val="20"/>
            </w:rPr>
            <w:fldChar w:fldCharType="separate"/>
          </w:r>
          <w:r>
            <w:rPr>
              <w:rFonts w:ascii="Arial" w:eastAsia="Arial" w:hAnsi="Arial" w:cs="Arial"/>
              <w:b w:val="false"/>
              <w:bCs w:val="false"/>
              <w:color w:val="646464"/>
              <w:sz w:val="20"/>
              <w:szCs w:val="20"/>
            </w:rPr>
            <w:t>36</w:t>
          </w:r>
          <w:r>
            <w:rPr>
              <w:rFonts w:ascii="Arial" w:eastAsia="Arial" w:hAnsi="Arial" w:cs="Arial"/>
              <w:b w:val="false"/>
              <w:bCs w:val="false"/>
              <w:color w:val="646464"/>
              <w:sz w:val="20"/>
              <w:szCs w:val="20"/>
            </w:rPr>
            <w:fldChar w:fldCharType="end"/>
          </w:r>
        </w:p>
      </w:tc>
      <w:tc>
        <w:tcPr>
          <w:tcW w:w="2500" w:type="pct"/>
          <w:shd w:val="clear" w:fill="FFFFFF"/>
          <w:vAlign w:val="center"/>
        </w:tcPr>
        <w:p>
          <w:pPr>
            <w:jc w:val="right"/>
          </w:pPr>
          <w:r>
            <w:rPr>
              <w:rFonts w:ascii="Arial" w:eastAsia="Arial" w:hAnsi="Arial" w:cs="Arial"/>
              <w:b w:val="false"/>
              <w:bCs w:val="false"/>
              <w:color w:val="646464"/>
              <w:sz w:val="20"/>
              <w:szCs w:val="20"/>
            </w:rPr>
            <w:t>IBISWorld.com</w:t>
          </w: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W w:w="5000" w:type="pct"/>
      <w:tblLayout w:type="fixed"/>
    </w:tblPr>
    <w:tr>
      <w:trPr>
        <w:trHeight w:hRule="exact" w:val="760"/>
      </w:trPr>
      <w:tc>
        <w:tcPr>
          <w:tcW w:w="2500" w:type="pct"/>
          <w:shd w:val="clear" w:fill="FFFFFF"/>
          <w:vAlign w:val="center"/>
        </w:tcPr>
        <w:p>
          <w:pPr>
            <w:jc w:val="left"/>
          </w:pPr>
          <w:r>
            <w:rPr>
              <w:rFonts w:ascii="Arial" w:eastAsia="Arial" w:hAnsi="Arial" w:cs="Arial"/>
              <w:b w:val="false"/>
              <w:bCs w:val="false"/>
              <w:color w:val="646464"/>
              <w:sz w:val="20"/>
              <w:szCs w:val="20"/>
            </w:rPr>
            <w:fldChar w:fldCharType="begin"/>
          </w:r>
          <w:r>
            <w:rPr>
              <w:rFonts w:ascii="Arial" w:eastAsia="Arial" w:hAnsi="Arial" w:cs="Arial"/>
              <w:b w:val="false"/>
              <w:bCs w:val="false"/>
              <w:color w:val="646464"/>
              <w:sz w:val="20"/>
              <w:szCs w:val="20"/>
            </w:rPr>
            <w:instrText xml:space="preserve">PAGE </w:instrText>
          </w:r>
          <w:r>
            <w:rPr>
              <w:rFonts w:ascii="Arial" w:eastAsia="Arial" w:hAnsi="Arial" w:cs="Arial"/>
              <w:b w:val="false"/>
              <w:bCs w:val="false"/>
              <w:color w:val="646464"/>
              <w:sz w:val="20"/>
              <w:szCs w:val="20"/>
            </w:rPr>
            <w:fldChar w:fldCharType="separate"/>
          </w:r>
          <w:r>
            <w:rPr>
              <w:rFonts w:ascii="Arial" w:eastAsia="Arial" w:hAnsi="Arial" w:cs="Arial"/>
              <w:b w:val="false"/>
              <w:bCs w:val="false"/>
              <w:color w:val="646464"/>
              <w:sz w:val="20"/>
              <w:szCs w:val="20"/>
            </w:rPr>
            <w:t>2</w:t>
          </w:r>
          <w:r>
            <w:rPr>
              <w:rFonts w:ascii="Arial" w:eastAsia="Arial" w:hAnsi="Arial" w:cs="Arial"/>
              <w:b w:val="false"/>
              <w:bCs w:val="false"/>
              <w:color w:val="646464"/>
              <w:sz w:val="20"/>
              <w:szCs w:val="20"/>
            </w:rPr>
            <w:fldChar w:fldCharType="end"/>
          </w:r>
        </w:p>
      </w:tc>
      <w:tc>
        <w:tcPr>
          <w:tcW w:w="2500" w:type="pct"/>
          <w:shd w:val="clear" w:fill="FFFFFF"/>
          <w:vAlign w:val="center"/>
        </w:tcPr>
        <w:p>
          <w:pPr>
            <w:jc w:val="right"/>
          </w:pPr>
          <w:r>
            <w:rPr>
              <w:rFonts w:ascii="Arial" w:eastAsia="Arial" w:hAnsi="Arial" w:cs="Arial"/>
              <w:b w:val="false"/>
              <w:bCs w:val="false"/>
              <w:color w:val="646464"/>
              <w:sz w:val="20"/>
              <w:szCs w:val="20"/>
            </w:rPr>
            <w:t>IBISWorld.com</w:t>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W w:w="5000" w:type="pct"/>
      <w:tblLayout w:type="fixed"/>
    </w:tblPr>
    <w:tr>
      <w:trPr>
        <w:trHeight w:hRule="exact" w:val="760"/>
      </w:trPr>
      <w:tc>
        <w:tcPr>
          <w:tcW w:w="2500" w:type="pct"/>
          <w:shd w:val="clear" w:fill="FFFFFF"/>
          <w:vAlign w:val="center"/>
        </w:tcPr>
        <w:p>
          <w:pPr>
            <w:jc w:val="left"/>
          </w:pPr>
          <w:r>
            <w:rPr>
              <w:rFonts w:ascii="Arial" w:eastAsia="Arial" w:hAnsi="Arial" w:cs="Arial"/>
              <w:b w:val="false"/>
              <w:bCs w:val="false"/>
              <w:color w:val="646464"/>
              <w:sz w:val="20"/>
              <w:szCs w:val="20"/>
            </w:rPr>
            <w:fldChar w:fldCharType="begin"/>
          </w:r>
          <w:r>
            <w:rPr>
              <w:rFonts w:ascii="Arial" w:eastAsia="Arial" w:hAnsi="Arial" w:cs="Arial"/>
              <w:b w:val="false"/>
              <w:bCs w:val="false"/>
              <w:color w:val="646464"/>
              <w:sz w:val="20"/>
              <w:szCs w:val="20"/>
            </w:rPr>
            <w:instrText xml:space="preserve">PAGE </w:instrText>
          </w:r>
          <w:r>
            <w:rPr>
              <w:rFonts w:ascii="Arial" w:eastAsia="Arial" w:hAnsi="Arial" w:cs="Arial"/>
              <w:b w:val="false"/>
              <w:bCs w:val="false"/>
              <w:color w:val="646464"/>
              <w:sz w:val="20"/>
              <w:szCs w:val="20"/>
            </w:rPr>
            <w:fldChar w:fldCharType="separate"/>
          </w:r>
          <w:r>
            <w:rPr>
              <w:rFonts w:ascii="Arial" w:eastAsia="Arial" w:hAnsi="Arial" w:cs="Arial"/>
              <w:b w:val="false"/>
              <w:bCs w:val="false"/>
              <w:color w:val="646464"/>
              <w:sz w:val="20"/>
              <w:szCs w:val="20"/>
            </w:rPr>
            <w:t>3</w:t>
          </w:r>
          <w:r>
            <w:rPr>
              <w:rFonts w:ascii="Arial" w:eastAsia="Arial" w:hAnsi="Arial" w:cs="Arial"/>
              <w:b w:val="false"/>
              <w:bCs w:val="false"/>
              <w:color w:val="646464"/>
              <w:sz w:val="20"/>
              <w:szCs w:val="20"/>
            </w:rPr>
            <w:fldChar w:fldCharType="end"/>
          </w:r>
        </w:p>
      </w:tc>
      <w:tc>
        <w:tcPr>
          <w:tcW w:w="2500" w:type="pct"/>
          <w:shd w:val="clear" w:fill="FFFFFF"/>
          <w:vAlign w:val="center"/>
        </w:tcPr>
        <w:p>
          <w:pPr>
            <w:jc w:val="right"/>
          </w:pPr>
          <w:r>
            <w:rPr>
              <w:rFonts w:ascii="Arial" w:eastAsia="Arial" w:hAnsi="Arial" w:cs="Arial"/>
              <w:b w:val="false"/>
              <w:bCs w:val="false"/>
              <w:color w:val="646464"/>
              <w:sz w:val="20"/>
              <w:szCs w:val="20"/>
            </w:rPr>
            <w:t>IBISWorld.com</w:t>
          </w: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W w:w="5000" w:type="pct"/>
      <w:tblLayout w:type="fixed"/>
    </w:tblPr>
    <w:tr>
      <w:trPr>
        <w:trHeight w:hRule="exact" w:val="760"/>
      </w:trPr>
      <w:tc>
        <w:tcPr>
          <w:tcW w:w="2500" w:type="pct"/>
          <w:shd w:val="clear" w:fill="FFFFFF"/>
          <w:vAlign w:val="center"/>
        </w:tcPr>
        <w:p>
          <w:pPr>
            <w:jc w:val="left"/>
          </w:pPr>
          <w:r>
            <w:rPr>
              <w:rFonts w:ascii="Arial" w:eastAsia="Arial" w:hAnsi="Arial" w:cs="Arial"/>
              <w:b w:val="false"/>
              <w:bCs w:val="false"/>
              <w:color w:val="646464"/>
              <w:sz w:val="20"/>
              <w:szCs w:val="20"/>
            </w:rPr>
            <w:fldChar w:fldCharType="begin"/>
          </w:r>
          <w:r>
            <w:rPr>
              <w:rFonts w:ascii="Arial" w:eastAsia="Arial" w:hAnsi="Arial" w:cs="Arial"/>
              <w:b w:val="false"/>
              <w:bCs w:val="false"/>
              <w:color w:val="646464"/>
              <w:sz w:val="20"/>
              <w:szCs w:val="20"/>
            </w:rPr>
            <w:instrText xml:space="preserve">PAGE </w:instrText>
          </w:r>
          <w:r>
            <w:rPr>
              <w:rFonts w:ascii="Arial" w:eastAsia="Arial" w:hAnsi="Arial" w:cs="Arial"/>
              <w:b w:val="false"/>
              <w:bCs w:val="false"/>
              <w:color w:val="646464"/>
              <w:sz w:val="20"/>
              <w:szCs w:val="20"/>
            </w:rPr>
            <w:fldChar w:fldCharType="separate"/>
          </w:r>
          <w:r>
            <w:rPr>
              <w:rFonts w:ascii="Arial" w:eastAsia="Arial" w:hAnsi="Arial" w:cs="Arial"/>
              <w:b w:val="false"/>
              <w:bCs w:val="false"/>
              <w:color w:val="646464"/>
              <w:sz w:val="20"/>
              <w:szCs w:val="20"/>
            </w:rPr>
            <w:t>4</w:t>
          </w:r>
          <w:r>
            <w:rPr>
              <w:rFonts w:ascii="Arial" w:eastAsia="Arial" w:hAnsi="Arial" w:cs="Arial"/>
              <w:b w:val="false"/>
              <w:bCs w:val="false"/>
              <w:color w:val="646464"/>
              <w:sz w:val="20"/>
              <w:szCs w:val="20"/>
            </w:rPr>
            <w:fldChar w:fldCharType="end"/>
          </w:r>
        </w:p>
      </w:tc>
      <w:tc>
        <w:tcPr>
          <w:tcW w:w="2500" w:type="pct"/>
          <w:shd w:val="clear" w:fill="FFFFFF"/>
          <w:vAlign w:val="center"/>
        </w:tcPr>
        <w:p>
          <w:pPr>
            <w:jc w:val="right"/>
          </w:pPr>
          <w:r>
            <w:rPr>
              <w:rFonts w:ascii="Arial" w:eastAsia="Arial" w:hAnsi="Arial" w:cs="Arial"/>
              <w:b w:val="false"/>
              <w:bCs w:val="false"/>
              <w:color w:val="646464"/>
              <w:sz w:val="20"/>
              <w:szCs w:val="20"/>
            </w:rPr>
            <w:t>IBISWorld.com</w:t>
          </w: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W w:w="5000" w:type="pct"/>
      <w:tblLayout w:type="fixed"/>
    </w:tblPr>
    <w:tr>
      <w:trPr>
        <w:trHeight w:hRule="exact" w:val="760"/>
      </w:trPr>
      <w:tc>
        <w:tcPr>
          <w:tcW w:w="2500" w:type="pct"/>
          <w:shd w:val="clear" w:fill="FFFFFF"/>
          <w:vAlign w:val="center"/>
        </w:tcPr>
        <w:p>
          <w:pPr>
            <w:jc w:val="left"/>
          </w:pPr>
          <w:r>
            <w:rPr>
              <w:rFonts w:ascii="Arial" w:eastAsia="Arial" w:hAnsi="Arial" w:cs="Arial"/>
              <w:b w:val="false"/>
              <w:bCs w:val="false"/>
              <w:color w:val="646464"/>
              <w:sz w:val="20"/>
              <w:szCs w:val="20"/>
            </w:rPr>
            <w:fldChar w:fldCharType="begin"/>
          </w:r>
          <w:r>
            <w:rPr>
              <w:rFonts w:ascii="Arial" w:eastAsia="Arial" w:hAnsi="Arial" w:cs="Arial"/>
              <w:b w:val="false"/>
              <w:bCs w:val="false"/>
              <w:color w:val="646464"/>
              <w:sz w:val="20"/>
              <w:szCs w:val="20"/>
            </w:rPr>
            <w:instrText xml:space="preserve">PAGE </w:instrText>
          </w:r>
          <w:r>
            <w:rPr>
              <w:rFonts w:ascii="Arial" w:eastAsia="Arial" w:hAnsi="Arial" w:cs="Arial"/>
              <w:b w:val="false"/>
              <w:bCs w:val="false"/>
              <w:color w:val="646464"/>
              <w:sz w:val="20"/>
              <w:szCs w:val="20"/>
            </w:rPr>
            <w:fldChar w:fldCharType="separate"/>
          </w:r>
          <w:r>
            <w:rPr>
              <w:rFonts w:ascii="Arial" w:eastAsia="Arial" w:hAnsi="Arial" w:cs="Arial"/>
              <w:b w:val="false"/>
              <w:bCs w:val="false"/>
              <w:color w:val="646464"/>
              <w:sz w:val="20"/>
              <w:szCs w:val="20"/>
            </w:rPr>
            <w:t>6</w:t>
          </w:r>
          <w:r>
            <w:rPr>
              <w:rFonts w:ascii="Arial" w:eastAsia="Arial" w:hAnsi="Arial" w:cs="Arial"/>
              <w:b w:val="false"/>
              <w:bCs w:val="false"/>
              <w:color w:val="646464"/>
              <w:sz w:val="20"/>
              <w:szCs w:val="20"/>
            </w:rPr>
            <w:fldChar w:fldCharType="end"/>
          </w:r>
        </w:p>
      </w:tc>
      <w:tc>
        <w:tcPr>
          <w:tcW w:w="2500" w:type="pct"/>
          <w:shd w:val="clear" w:fill="FFFFFF"/>
          <w:vAlign w:val="center"/>
        </w:tcPr>
        <w:p>
          <w:pPr>
            <w:jc w:val="right"/>
          </w:pPr>
          <w:r>
            <w:rPr>
              <w:rFonts w:ascii="Arial" w:eastAsia="Arial" w:hAnsi="Arial" w:cs="Arial"/>
              <w:b w:val="false"/>
              <w:bCs w:val="false"/>
              <w:color w:val="646464"/>
              <w:sz w:val="20"/>
              <w:szCs w:val="20"/>
            </w:rPr>
            <w:t>IBISWorld.com</w:t>
          </w: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W w:w="5000" w:type="pct"/>
      <w:tblLayout w:type="fixed"/>
    </w:tblPr>
    <w:tr>
      <w:trPr>
        <w:trHeight w:hRule="exact" w:val="760"/>
      </w:trPr>
      <w:tc>
        <w:tcPr>
          <w:tcW w:w="2500" w:type="pct"/>
          <w:shd w:val="clear" w:fill="FFFFFF"/>
          <w:vAlign w:val="center"/>
        </w:tcPr>
        <w:p>
          <w:pPr>
            <w:jc w:val="left"/>
          </w:pPr>
          <w:r>
            <w:rPr>
              <w:rFonts w:ascii="Arial" w:eastAsia="Arial" w:hAnsi="Arial" w:cs="Arial"/>
              <w:b w:val="false"/>
              <w:bCs w:val="false"/>
              <w:color w:val="646464"/>
              <w:sz w:val="20"/>
              <w:szCs w:val="20"/>
            </w:rPr>
            <w:fldChar w:fldCharType="begin"/>
          </w:r>
          <w:r>
            <w:rPr>
              <w:rFonts w:ascii="Arial" w:eastAsia="Arial" w:hAnsi="Arial" w:cs="Arial"/>
              <w:b w:val="false"/>
              <w:bCs w:val="false"/>
              <w:color w:val="646464"/>
              <w:sz w:val="20"/>
              <w:szCs w:val="20"/>
            </w:rPr>
            <w:instrText xml:space="preserve">PAGE </w:instrText>
          </w:r>
          <w:r>
            <w:rPr>
              <w:rFonts w:ascii="Arial" w:eastAsia="Arial" w:hAnsi="Arial" w:cs="Arial"/>
              <w:b w:val="false"/>
              <w:bCs w:val="false"/>
              <w:color w:val="646464"/>
              <w:sz w:val="20"/>
              <w:szCs w:val="20"/>
            </w:rPr>
            <w:fldChar w:fldCharType="separate"/>
          </w:r>
          <w:r>
            <w:rPr>
              <w:rFonts w:ascii="Arial" w:eastAsia="Arial" w:hAnsi="Arial" w:cs="Arial"/>
              <w:b w:val="false"/>
              <w:bCs w:val="false"/>
              <w:color w:val="646464"/>
              <w:sz w:val="20"/>
              <w:szCs w:val="20"/>
            </w:rPr>
            <w:t>9</w:t>
          </w:r>
          <w:r>
            <w:rPr>
              <w:rFonts w:ascii="Arial" w:eastAsia="Arial" w:hAnsi="Arial" w:cs="Arial"/>
              <w:b w:val="false"/>
              <w:bCs w:val="false"/>
              <w:color w:val="646464"/>
              <w:sz w:val="20"/>
              <w:szCs w:val="20"/>
            </w:rPr>
            <w:fldChar w:fldCharType="end"/>
          </w:r>
        </w:p>
      </w:tc>
      <w:tc>
        <w:tcPr>
          <w:tcW w:w="2500" w:type="pct"/>
          <w:shd w:val="clear" w:fill="FFFFFF"/>
          <w:vAlign w:val="center"/>
        </w:tcPr>
        <w:p>
          <w:pPr>
            <w:jc w:val="right"/>
          </w:pPr>
          <w:r>
            <w:rPr>
              <w:rFonts w:ascii="Arial" w:eastAsia="Arial" w:hAnsi="Arial" w:cs="Arial"/>
              <w:b w:val="false"/>
              <w:bCs w:val="false"/>
              <w:color w:val="646464"/>
              <w:sz w:val="20"/>
              <w:szCs w:val="20"/>
            </w:rPr>
            <w:t>IBISWorld.com</w:t>
          </w: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W w:w="5000" w:type="pct"/>
      <w:tblLayout w:type="fixed"/>
    </w:tblPr>
    <w:tr>
      <w:trPr>
        <w:trHeight w:hRule="exact" w:val="760"/>
      </w:trPr>
      <w:tc>
        <w:tcPr>
          <w:tcW w:w="2500" w:type="pct"/>
          <w:shd w:val="clear" w:fill="FFFFFF"/>
          <w:vAlign w:val="center"/>
        </w:tcPr>
        <w:p>
          <w:pPr>
            <w:jc w:val="left"/>
          </w:pPr>
          <w:r>
            <w:rPr>
              <w:rFonts w:ascii="Arial" w:eastAsia="Arial" w:hAnsi="Arial" w:cs="Arial"/>
              <w:b w:val="false"/>
              <w:bCs w:val="false"/>
              <w:color w:val="646464"/>
              <w:sz w:val="20"/>
              <w:szCs w:val="20"/>
            </w:rPr>
            <w:fldChar w:fldCharType="begin"/>
          </w:r>
          <w:r>
            <w:rPr>
              <w:rFonts w:ascii="Arial" w:eastAsia="Arial" w:hAnsi="Arial" w:cs="Arial"/>
              <w:b w:val="false"/>
              <w:bCs w:val="false"/>
              <w:color w:val="646464"/>
              <w:sz w:val="20"/>
              <w:szCs w:val="20"/>
            </w:rPr>
            <w:instrText xml:space="preserve">PAGE </w:instrText>
          </w:r>
          <w:r>
            <w:rPr>
              <w:rFonts w:ascii="Arial" w:eastAsia="Arial" w:hAnsi="Arial" w:cs="Arial"/>
              <w:b w:val="false"/>
              <w:bCs w:val="false"/>
              <w:color w:val="646464"/>
              <w:sz w:val="20"/>
              <w:szCs w:val="20"/>
            </w:rPr>
            <w:fldChar w:fldCharType="separate"/>
          </w:r>
          <w:r>
            <w:rPr>
              <w:rFonts w:ascii="Arial" w:eastAsia="Arial" w:hAnsi="Arial" w:cs="Arial"/>
              <w:b w:val="false"/>
              <w:bCs w:val="false"/>
              <w:color w:val="646464"/>
              <w:sz w:val="20"/>
              <w:szCs w:val="20"/>
            </w:rPr>
            <w:t>13</w:t>
          </w:r>
          <w:r>
            <w:rPr>
              <w:rFonts w:ascii="Arial" w:eastAsia="Arial" w:hAnsi="Arial" w:cs="Arial"/>
              <w:b w:val="false"/>
              <w:bCs w:val="false"/>
              <w:color w:val="646464"/>
              <w:sz w:val="20"/>
              <w:szCs w:val="20"/>
            </w:rPr>
            <w:fldChar w:fldCharType="end"/>
          </w:r>
        </w:p>
      </w:tc>
      <w:tc>
        <w:tcPr>
          <w:tcW w:w="2500" w:type="pct"/>
          <w:shd w:val="clear" w:fill="FFFFFF"/>
          <w:vAlign w:val="center"/>
        </w:tcPr>
        <w:p>
          <w:pPr>
            <w:jc w:val="right"/>
          </w:pPr>
          <w:r>
            <w:rPr>
              <w:rFonts w:ascii="Arial" w:eastAsia="Arial" w:hAnsi="Arial" w:cs="Arial"/>
              <w:b w:val="false"/>
              <w:bCs w:val="false"/>
              <w:color w:val="646464"/>
              <w:sz w:val="20"/>
              <w:szCs w:val="20"/>
            </w:rPr>
            <w:t>IBISWorld.com</w:t>
          </w: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W w:w="5000" w:type="pct"/>
      <w:tblLayout w:type="fixed"/>
    </w:tblPr>
    <w:tr>
      <w:trPr>
        <w:trHeight w:hRule="exact" w:val="760"/>
      </w:trPr>
      <w:tc>
        <w:tcPr>
          <w:tcW w:w="2500" w:type="pct"/>
          <w:shd w:val="clear" w:fill="FFFFFF"/>
          <w:vAlign w:val="center"/>
        </w:tcPr>
        <w:p>
          <w:pPr>
            <w:jc w:val="left"/>
          </w:pPr>
          <w:r>
            <w:rPr>
              <w:rFonts w:ascii="Arial" w:eastAsia="Arial" w:hAnsi="Arial" w:cs="Arial"/>
              <w:b w:val="false"/>
              <w:bCs w:val="false"/>
              <w:color w:val="646464"/>
              <w:sz w:val="20"/>
              <w:szCs w:val="20"/>
            </w:rPr>
            <w:fldChar w:fldCharType="begin"/>
          </w:r>
          <w:r>
            <w:rPr>
              <w:rFonts w:ascii="Arial" w:eastAsia="Arial" w:hAnsi="Arial" w:cs="Arial"/>
              <w:b w:val="false"/>
              <w:bCs w:val="false"/>
              <w:color w:val="646464"/>
              <w:sz w:val="20"/>
              <w:szCs w:val="20"/>
            </w:rPr>
            <w:instrText xml:space="preserve">PAGE </w:instrText>
          </w:r>
          <w:r>
            <w:rPr>
              <w:rFonts w:ascii="Arial" w:eastAsia="Arial" w:hAnsi="Arial" w:cs="Arial"/>
              <w:b w:val="false"/>
              <w:bCs w:val="false"/>
              <w:color w:val="646464"/>
              <w:sz w:val="20"/>
              <w:szCs w:val="20"/>
            </w:rPr>
            <w:fldChar w:fldCharType="separate"/>
          </w:r>
          <w:r>
            <w:rPr>
              <w:rFonts w:ascii="Arial" w:eastAsia="Arial" w:hAnsi="Arial" w:cs="Arial"/>
              <w:b w:val="false"/>
              <w:bCs w:val="false"/>
              <w:color w:val="646464"/>
              <w:sz w:val="20"/>
              <w:szCs w:val="20"/>
            </w:rPr>
            <w:t>16</w:t>
          </w:r>
          <w:r>
            <w:rPr>
              <w:rFonts w:ascii="Arial" w:eastAsia="Arial" w:hAnsi="Arial" w:cs="Arial"/>
              <w:b w:val="false"/>
              <w:bCs w:val="false"/>
              <w:color w:val="646464"/>
              <w:sz w:val="20"/>
              <w:szCs w:val="20"/>
            </w:rPr>
            <w:fldChar w:fldCharType="end"/>
          </w:r>
        </w:p>
      </w:tc>
      <w:tc>
        <w:tcPr>
          <w:tcW w:w="2500" w:type="pct"/>
          <w:shd w:val="clear" w:fill="FFFFFF"/>
          <w:vAlign w:val="center"/>
        </w:tcPr>
        <w:p>
          <w:pPr>
            <w:jc w:val="right"/>
          </w:pPr>
          <w:r>
            <w:rPr>
              <w:rFonts w:ascii="Arial" w:eastAsia="Arial" w:hAnsi="Arial" w:cs="Arial"/>
              <w:b w:val="false"/>
              <w:bCs w:val="false"/>
              <w:color w:val="646464"/>
              <w:sz w:val="20"/>
              <w:szCs w:val="20"/>
            </w:rPr>
            <w:t>IBISWorld.com</w:t>
          </w:r>
        </w:p>
      </w:tc>
    </w:tr>
  </w:tbl>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pPr w:horzAnchor="page" w:vertAnchor="page"/>
      <w:tblW w:w="12000" w:type="dxa"/>
    </w:tblPr>
    <w:tr>
      <w:trPr>
        <w:trHeight w:hRule="exact" w:val="100"/>
      </w:trPr>
      <w:tc>
        <w:tcPr>
          <w:tcW w:w="900" w:type="dxa"/>
          <w:shd w:val="clear" w:fill="AB091E"/>
        </w:tcPr>
        <w:p>
          <w:pPr/>
          <w:r>
            <w:rPr>
              <w:rFonts w:ascii="Arial" w:eastAsia="Arial" w:hAnsi="Arial" w:cs="Arial"/>
              <w:sz w:val="16"/>
              <w:szCs w:val="16"/>
            </w:rPr>
            <w:t xml:space="preserve"> </w:t>
          </w:r>
        </w:p>
      </w:tc>
      <w:tc>
        <w:tcPr>
          <w:tcW w:w="7700" w:type="dxa"/>
          <w:shd w:val="clear" w:fill="AB091E"/>
          <w:noWrap/>
        </w:tcPr>
        <w:p>
          <w:pPr/>
          <w:r>
            <w:rPr>
              <w:rFonts w:ascii="Arial" w:eastAsia="Arial" w:hAnsi="Arial" w:cs="Arial"/>
              <w:sz w:val="16"/>
              <w:szCs w:val="16"/>
            </w:rPr>
            <w:t xml:space="preserve"> </w:t>
          </w:r>
        </w:p>
      </w:tc>
      <w:tc>
        <w:tcPr>
          <w:tcW w:w="2600" w:type="dxa"/>
          <w:shd w:val="clear" w:fill="AB091E"/>
        </w:tcPr>
        <w:p>
          <w:pPr/>
          <w:r>
            <w:rPr>
              <w:rFonts w:ascii="Arial" w:eastAsia="Arial" w:hAnsi="Arial" w:cs="Arial"/>
              <w:sz w:val="16"/>
              <w:szCs w:val="16"/>
            </w:rPr>
            <w:t xml:space="preserve"> </w:t>
          </w:r>
        </w:p>
      </w:tc>
      <w:tc>
        <w:tcPr>
          <w:tcW w:w="900" w:type="dxa"/>
          <w:shd w:val="clear" w:fill="AB091E"/>
        </w:tcPr>
        <w:p>
          <w:pPr/>
          <w:r>
            <w:rPr>
              <w:rFonts w:ascii="Arial" w:eastAsia="Arial" w:hAnsi="Arial" w:cs="Arial"/>
              <w:sz w:val="16"/>
              <w:szCs w:val="16"/>
            </w:rPr>
            <w:t xml:space="preserve"> </w:t>
          </w:r>
        </w:p>
      </w:tc>
    </w:tr>
    <w:tr>
      <w:trPr>
        <w:trHeight w:hRule="exact" w:val="520"/>
      </w:trPr>
      <w:tc>
        <w:tcPr>
          <w:tcW w:w="900" w:type="dxa"/>
          <w:shd w:val="clear" w:fill="FFFFFF"/>
        </w:tcPr>
        <w:p>
          <w:pPr/>
          <w:r>
            <w:rPr>
              <w:rFonts w:ascii="Arial" w:eastAsia="Arial" w:hAnsi="Arial" w:cs="Arial"/>
              <w:sz w:val="16"/>
              <w:szCs w:val="16"/>
            </w:rPr>
            <w:t xml:space="preserve"> </w:t>
          </w:r>
        </w:p>
      </w:tc>
      <w:tc>
        <w:tcPr>
          <w:tcW w:w="7700" w:type="dxa"/>
          <w:shd w:val="clear" w:fill="FFFFFF"/>
          <w:vAlign w:val="center"/>
        </w:tcPr>
        <w:p>
          <w:pPr>
            <w:spacing w:before="160"/>
            <w:jc w:val="left"/>
          </w:pPr>
          <w:r>
            <w:rPr>
              <w:rFonts w:ascii="Arial" w:eastAsia="Arial" w:hAnsi="Arial" w:cs="Arial"/>
              <w:b w:val="false"/>
              <w:bCs w:val="false"/>
              <w:color w:val="5A5A61"/>
              <w:sz w:val="18"/>
              <w:szCs w:val="18"/>
            </w:rPr>
            <w:t>Men's Clothing Stores in the US</w:t>
          </w:r>
        </w:p>
      </w:tc>
      <w:tc>
        <w:tcPr>
          <w:tcW w:w="7700" w:type="dxa"/>
          <w:shd w:val="clear" w:fill="FFFFFF"/>
          <w:vAlign w:val="center"/>
        </w:tcPr>
        <w:p>
          <w:pPr>
            <w:spacing w:before="160"/>
            <w:jc w:val="right"/>
          </w:pPr>
          <w:r>
            <w:rPr>
              <w:rFonts w:ascii="Arial" w:eastAsia="Arial" w:hAnsi="Arial" w:cs="Arial"/>
              <w:b w:val="false"/>
              <w:bCs w:val="false"/>
              <w:color w:val="5A5A61"/>
              <w:sz w:val="18"/>
              <w:szCs w:val="18"/>
            </w:rPr>
            <w:t>November 2020</w:t>
          </w:r>
        </w:p>
      </w:tc>
      <w:tc>
        <w:tcPr>
          <w:tcW w:w="900" w:type="dxa"/>
          <w:shd w:val="clear" w:fill="FFFFFF"/>
        </w:tcPr>
        <w:p>
          <w:pPr/>
          <w:r>
            <w:rPr>
              <w:rFonts w:ascii="Arial" w:eastAsia="Arial" w:hAnsi="Arial" w:cs="Arial"/>
              <w:sz w:val="16"/>
              <w:szCs w:val="16"/>
            </w:rPr>
            <w:t xml:space="preserve"> </w:t>
          </w:r>
        </w:p>
      </w:tc>
    </w:tr>
  </w:tbl>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pPr w:horzAnchor="page" w:vertAnchor="page"/>
      <w:tblW w:w="12000" w:type="dxa"/>
    </w:tblPr>
    <w:tr>
      <w:trPr>
        <w:trHeight w:hRule="exact" w:val="100"/>
      </w:trPr>
      <w:tc>
        <w:tcPr>
          <w:tcW w:w="900" w:type="dxa"/>
          <w:shd w:val="clear" w:fill="AB091E"/>
        </w:tcPr>
        <w:p>
          <w:pPr/>
          <w:r>
            <w:rPr>
              <w:rFonts w:ascii="Arial" w:eastAsia="Arial" w:hAnsi="Arial" w:cs="Arial"/>
              <w:sz w:val="16"/>
              <w:szCs w:val="16"/>
            </w:rPr>
            <w:t xml:space="preserve"> </w:t>
          </w:r>
        </w:p>
      </w:tc>
      <w:tc>
        <w:tcPr>
          <w:tcW w:w="7700" w:type="dxa"/>
          <w:shd w:val="clear" w:fill="AB091E"/>
          <w:noWrap/>
        </w:tcPr>
        <w:p>
          <w:pPr/>
          <w:r>
            <w:rPr>
              <w:rFonts w:ascii="Arial" w:eastAsia="Arial" w:hAnsi="Arial" w:cs="Arial"/>
              <w:sz w:val="16"/>
              <w:szCs w:val="16"/>
            </w:rPr>
            <w:t xml:space="preserve"> </w:t>
          </w:r>
        </w:p>
      </w:tc>
      <w:tc>
        <w:tcPr>
          <w:tcW w:w="2600" w:type="dxa"/>
          <w:shd w:val="clear" w:fill="AB091E"/>
        </w:tcPr>
        <w:p>
          <w:pPr/>
          <w:r>
            <w:rPr>
              <w:rFonts w:ascii="Arial" w:eastAsia="Arial" w:hAnsi="Arial" w:cs="Arial"/>
              <w:sz w:val="16"/>
              <w:szCs w:val="16"/>
            </w:rPr>
            <w:t xml:space="preserve"> </w:t>
          </w:r>
        </w:p>
      </w:tc>
      <w:tc>
        <w:tcPr>
          <w:tcW w:w="900" w:type="dxa"/>
          <w:shd w:val="clear" w:fill="AB091E"/>
        </w:tcPr>
        <w:p>
          <w:pPr/>
          <w:r>
            <w:rPr>
              <w:rFonts w:ascii="Arial" w:eastAsia="Arial" w:hAnsi="Arial" w:cs="Arial"/>
              <w:sz w:val="16"/>
              <w:szCs w:val="16"/>
            </w:rPr>
            <w:t xml:space="preserve"> </w:t>
          </w:r>
        </w:p>
      </w:tc>
    </w:tr>
    <w:tr>
      <w:trPr>
        <w:trHeight w:hRule="exact" w:val="520"/>
      </w:trPr>
      <w:tc>
        <w:tcPr>
          <w:tcW w:w="900" w:type="dxa"/>
          <w:shd w:val="clear" w:fill="FFFFFF"/>
        </w:tcPr>
        <w:p>
          <w:pPr/>
          <w:r>
            <w:rPr>
              <w:rFonts w:ascii="Arial" w:eastAsia="Arial" w:hAnsi="Arial" w:cs="Arial"/>
              <w:sz w:val="16"/>
              <w:szCs w:val="16"/>
            </w:rPr>
            <w:t xml:space="preserve"> </w:t>
          </w:r>
        </w:p>
      </w:tc>
      <w:tc>
        <w:tcPr>
          <w:tcW w:w="7700" w:type="dxa"/>
          <w:shd w:val="clear" w:fill="FFFFFF"/>
          <w:vAlign w:val="center"/>
        </w:tcPr>
        <w:p>
          <w:pPr>
            <w:spacing w:before="160"/>
            <w:jc w:val="left"/>
          </w:pPr>
          <w:r>
            <w:rPr>
              <w:rFonts w:ascii="Arial" w:eastAsia="Arial" w:hAnsi="Arial" w:cs="Arial"/>
              <w:b w:val="false"/>
              <w:bCs w:val="false"/>
              <w:color w:val="5A5A61"/>
              <w:sz w:val="18"/>
              <w:szCs w:val="18"/>
            </w:rPr>
            <w:t>Men's Clothing Stores in the US</w:t>
          </w:r>
        </w:p>
      </w:tc>
      <w:tc>
        <w:tcPr>
          <w:tcW w:w="7700" w:type="dxa"/>
          <w:shd w:val="clear" w:fill="FFFFFF"/>
          <w:vAlign w:val="center"/>
        </w:tcPr>
        <w:p>
          <w:pPr>
            <w:spacing w:before="160"/>
            <w:jc w:val="right"/>
          </w:pPr>
          <w:r>
            <w:rPr>
              <w:rFonts w:ascii="Arial" w:eastAsia="Arial" w:hAnsi="Arial" w:cs="Arial"/>
              <w:b w:val="false"/>
              <w:bCs w:val="false"/>
              <w:color w:val="5A5A61"/>
              <w:sz w:val="18"/>
              <w:szCs w:val="18"/>
            </w:rPr>
            <w:t>November 2020</w:t>
          </w:r>
        </w:p>
      </w:tc>
      <w:tc>
        <w:tcPr>
          <w:tcW w:w="900" w:type="dxa"/>
          <w:shd w:val="clear" w:fill="FFFFFF"/>
        </w:tcPr>
        <w:p>
          <w:pPr/>
          <w:r>
            <w:rPr>
              <w:rFonts w:ascii="Arial" w:eastAsia="Arial" w:hAnsi="Arial" w:cs="Arial"/>
              <w:sz w:val="16"/>
              <w:szCs w:val="16"/>
            </w:rPr>
            <w:t xml:space="preserve"> </w:t>
          </w:r>
        </w:p>
      </w:tc>
    </w:tr>
  </w:tbl>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pPr w:horzAnchor="page" w:vertAnchor="page"/>
      <w:tblW w:w="12000" w:type="dxa"/>
    </w:tblPr>
    <w:tr>
      <w:trPr>
        <w:trHeight w:hRule="exact" w:val="100"/>
      </w:trPr>
      <w:tc>
        <w:tcPr>
          <w:tcW w:w="900" w:type="dxa"/>
          <w:shd w:val="clear" w:fill="AB091E"/>
        </w:tcPr>
        <w:p>
          <w:pPr/>
          <w:r>
            <w:rPr>
              <w:rFonts w:ascii="Arial" w:eastAsia="Arial" w:hAnsi="Arial" w:cs="Arial"/>
              <w:sz w:val="16"/>
              <w:szCs w:val="16"/>
            </w:rPr>
            <w:t xml:space="preserve"> </w:t>
          </w:r>
        </w:p>
      </w:tc>
      <w:tc>
        <w:tcPr>
          <w:tcW w:w="7700" w:type="dxa"/>
          <w:shd w:val="clear" w:fill="AB091E"/>
          <w:noWrap/>
        </w:tcPr>
        <w:p>
          <w:pPr/>
          <w:r>
            <w:rPr>
              <w:rFonts w:ascii="Arial" w:eastAsia="Arial" w:hAnsi="Arial" w:cs="Arial"/>
              <w:sz w:val="16"/>
              <w:szCs w:val="16"/>
            </w:rPr>
            <w:t xml:space="preserve"> </w:t>
          </w:r>
        </w:p>
      </w:tc>
      <w:tc>
        <w:tcPr>
          <w:tcW w:w="2600" w:type="dxa"/>
          <w:shd w:val="clear" w:fill="AB091E"/>
        </w:tcPr>
        <w:p>
          <w:pPr/>
          <w:r>
            <w:rPr>
              <w:rFonts w:ascii="Arial" w:eastAsia="Arial" w:hAnsi="Arial" w:cs="Arial"/>
              <w:sz w:val="16"/>
              <w:szCs w:val="16"/>
            </w:rPr>
            <w:t xml:space="preserve"> </w:t>
          </w:r>
        </w:p>
      </w:tc>
      <w:tc>
        <w:tcPr>
          <w:tcW w:w="900" w:type="dxa"/>
          <w:shd w:val="clear" w:fill="AB091E"/>
        </w:tcPr>
        <w:p>
          <w:pPr/>
          <w:r>
            <w:rPr>
              <w:rFonts w:ascii="Arial" w:eastAsia="Arial" w:hAnsi="Arial" w:cs="Arial"/>
              <w:sz w:val="16"/>
              <w:szCs w:val="16"/>
            </w:rPr>
            <w:t xml:space="preserve"> </w:t>
          </w:r>
        </w:p>
      </w:tc>
    </w:tr>
    <w:tr>
      <w:trPr>
        <w:trHeight w:hRule="exact" w:val="520"/>
      </w:trPr>
      <w:tc>
        <w:tcPr>
          <w:tcW w:w="900" w:type="dxa"/>
          <w:shd w:val="clear" w:fill="FFFFFF"/>
        </w:tcPr>
        <w:p>
          <w:pPr/>
          <w:r>
            <w:rPr>
              <w:rFonts w:ascii="Arial" w:eastAsia="Arial" w:hAnsi="Arial" w:cs="Arial"/>
              <w:sz w:val="16"/>
              <w:szCs w:val="16"/>
            </w:rPr>
            <w:t xml:space="preserve"> </w:t>
          </w:r>
        </w:p>
      </w:tc>
      <w:tc>
        <w:tcPr>
          <w:tcW w:w="7700" w:type="dxa"/>
          <w:shd w:val="clear" w:fill="FFFFFF"/>
          <w:vAlign w:val="center"/>
        </w:tcPr>
        <w:p>
          <w:pPr>
            <w:spacing w:before="160"/>
            <w:jc w:val="left"/>
          </w:pPr>
          <w:r>
            <w:rPr>
              <w:rFonts w:ascii="Arial" w:eastAsia="Arial" w:hAnsi="Arial" w:cs="Arial"/>
              <w:b w:val="false"/>
              <w:bCs w:val="false"/>
              <w:color w:val="5A5A61"/>
              <w:sz w:val="18"/>
              <w:szCs w:val="18"/>
            </w:rPr>
            <w:t>Men's Clothing Stores in the US</w:t>
          </w:r>
        </w:p>
      </w:tc>
      <w:tc>
        <w:tcPr>
          <w:tcW w:w="7700" w:type="dxa"/>
          <w:shd w:val="clear" w:fill="FFFFFF"/>
          <w:vAlign w:val="center"/>
        </w:tcPr>
        <w:p>
          <w:pPr>
            <w:spacing w:before="160"/>
            <w:jc w:val="right"/>
          </w:pPr>
          <w:r>
            <w:rPr>
              <w:rFonts w:ascii="Arial" w:eastAsia="Arial" w:hAnsi="Arial" w:cs="Arial"/>
              <w:b w:val="false"/>
              <w:bCs w:val="false"/>
              <w:color w:val="5A5A61"/>
              <w:sz w:val="18"/>
              <w:szCs w:val="18"/>
            </w:rPr>
            <w:t>November 2020</w:t>
          </w:r>
        </w:p>
      </w:tc>
      <w:tc>
        <w:tcPr>
          <w:tcW w:w="900" w:type="dxa"/>
          <w:shd w:val="clear" w:fill="FFFFFF"/>
        </w:tcPr>
        <w:p>
          <w:pPr/>
          <w:r>
            <w:rPr>
              <w:rFonts w:ascii="Arial" w:eastAsia="Arial" w:hAnsi="Arial" w:cs="Arial"/>
              <w:sz w:val="16"/>
              <w:szCs w:val="16"/>
            </w:rPr>
            <w:t xml:space="preserve"> </w:t>
          </w:r>
        </w:p>
      </w:tc>
    </w:tr>
  </w:tbl>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pPr w:horzAnchor="page" w:vertAnchor="page"/>
      <w:tblW w:w="12000" w:type="dxa"/>
    </w:tblPr>
    <w:tr>
      <w:trPr>
        <w:trHeight w:hRule="exact" w:val="100"/>
      </w:trPr>
      <w:tc>
        <w:tcPr>
          <w:tcW w:w="900" w:type="dxa"/>
          <w:shd w:val="clear" w:fill="AB091E"/>
        </w:tcPr>
        <w:p>
          <w:pPr/>
          <w:r>
            <w:rPr>
              <w:rFonts w:ascii="Arial" w:eastAsia="Arial" w:hAnsi="Arial" w:cs="Arial"/>
              <w:sz w:val="16"/>
              <w:szCs w:val="16"/>
            </w:rPr>
            <w:t xml:space="preserve"> </w:t>
          </w:r>
        </w:p>
      </w:tc>
      <w:tc>
        <w:tcPr>
          <w:tcW w:w="7700" w:type="dxa"/>
          <w:shd w:val="clear" w:fill="AB091E"/>
          <w:noWrap/>
        </w:tcPr>
        <w:p>
          <w:pPr/>
          <w:r>
            <w:rPr>
              <w:rFonts w:ascii="Arial" w:eastAsia="Arial" w:hAnsi="Arial" w:cs="Arial"/>
              <w:sz w:val="16"/>
              <w:szCs w:val="16"/>
            </w:rPr>
            <w:t xml:space="preserve"> </w:t>
          </w:r>
        </w:p>
      </w:tc>
      <w:tc>
        <w:tcPr>
          <w:tcW w:w="2600" w:type="dxa"/>
          <w:shd w:val="clear" w:fill="AB091E"/>
        </w:tcPr>
        <w:p>
          <w:pPr/>
          <w:r>
            <w:rPr>
              <w:rFonts w:ascii="Arial" w:eastAsia="Arial" w:hAnsi="Arial" w:cs="Arial"/>
              <w:sz w:val="16"/>
              <w:szCs w:val="16"/>
            </w:rPr>
            <w:t xml:space="preserve"> </w:t>
          </w:r>
        </w:p>
      </w:tc>
      <w:tc>
        <w:tcPr>
          <w:tcW w:w="900" w:type="dxa"/>
          <w:shd w:val="clear" w:fill="AB091E"/>
        </w:tcPr>
        <w:p>
          <w:pPr/>
          <w:r>
            <w:rPr>
              <w:rFonts w:ascii="Arial" w:eastAsia="Arial" w:hAnsi="Arial" w:cs="Arial"/>
              <w:sz w:val="16"/>
              <w:szCs w:val="16"/>
            </w:rPr>
            <w:t xml:space="preserve"> </w:t>
          </w:r>
        </w:p>
      </w:tc>
    </w:tr>
    <w:tr>
      <w:trPr>
        <w:trHeight w:hRule="exact" w:val="520"/>
      </w:trPr>
      <w:tc>
        <w:tcPr>
          <w:tcW w:w="900" w:type="dxa"/>
          <w:shd w:val="clear" w:fill="FFFFFF"/>
        </w:tcPr>
        <w:p>
          <w:pPr/>
          <w:r>
            <w:rPr>
              <w:rFonts w:ascii="Arial" w:eastAsia="Arial" w:hAnsi="Arial" w:cs="Arial"/>
              <w:sz w:val="16"/>
              <w:szCs w:val="16"/>
            </w:rPr>
            <w:t xml:space="preserve"> </w:t>
          </w:r>
        </w:p>
      </w:tc>
      <w:tc>
        <w:tcPr>
          <w:tcW w:w="7700" w:type="dxa"/>
          <w:shd w:val="clear" w:fill="FFFFFF"/>
          <w:vAlign w:val="center"/>
        </w:tcPr>
        <w:p>
          <w:pPr>
            <w:spacing w:before="160"/>
            <w:jc w:val="left"/>
          </w:pPr>
          <w:r>
            <w:rPr>
              <w:rFonts w:ascii="Arial" w:eastAsia="Arial" w:hAnsi="Arial" w:cs="Arial"/>
              <w:b w:val="false"/>
              <w:bCs w:val="false"/>
              <w:color w:val="5A5A61"/>
              <w:sz w:val="18"/>
              <w:szCs w:val="18"/>
            </w:rPr>
            <w:t>Men's Clothing Stores in the US</w:t>
          </w:r>
        </w:p>
      </w:tc>
      <w:tc>
        <w:tcPr>
          <w:tcW w:w="7700" w:type="dxa"/>
          <w:shd w:val="clear" w:fill="FFFFFF"/>
          <w:vAlign w:val="center"/>
        </w:tcPr>
        <w:p>
          <w:pPr>
            <w:spacing w:before="160"/>
            <w:jc w:val="right"/>
          </w:pPr>
          <w:r>
            <w:rPr>
              <w:rFonts w:ascii="Arial" w:eastAsia="Arial" w:hAnsi="Arial" w:cs="Arial"/>
              <w:b w:val="false"/>
              <w:bCs w:val="false"/>
              <w:color w:val="5A5A61"/>
              <w:sz w:val="18"/>
              <w:szCs w:val="18"/>
            </w:rPr>
            <w:t>November 2020</w:t>
          </w:r>
        </w:p>
      </w:tc>
      <w:tc>
        <w:tcPr>
          <w:tcW w:w="900" w:type="dxa"/>
          <w:shd w:val="clear" w:fill="FFFFFF"/>
        </w:tcPr>
        <w:p>
          <w:pPr/>
          <w:r>
            <w:rPr>
              <w:rFonts w:ascii="Arial" w:eastAsia="Arial" w:hAnsi="Arial" w:cs="Arial"/>
              <w:sz w:val="16"/>
              <w:szCs w:val="16"/>
            </w:rPr>
            <w:t xml:space="preserve"> </w:t>
          </w:r>
        </w:p>
      </w:tc>
    </w:tr>
  </w:tbl>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pPr w:horzAnchor="page" w:vertAnchor="page"/>
      <w:tblW w:w="12000" w:type="dxa"/>
    </w:tblPr>
    <w:tr>
      <w:trPr>
        <w:trHeight w:hRule="exact" w:val="100"/>
      </w:trPr>
      <w:tc>
        <w:tcPr>
          <w:tcW w:w="900" w:type="dxa"/>
          <w:shd w:val="clear" w:fill="AB091E"/>
        </w:tcPr>
        <w:p>
          <w:pPr/>
          <w:r>
            <w:rPr>
              <w:rFonts w:ascii="Arial" w:eastAsia="Arial" w:hAnsi="Arial" w:cs="Arial"/>
              <w:sz w:val="16"/>
              <w:szCs w:val="16"/>
            </w:rPr>
            <w:t xml:space="preserve"> </w:t>
          </w:r>
        </w:p>
      </w:tc>
      <w:tc>
        <w:tcPr>
          <w:tcW w:w="7700" w:type="dxa"/>
          <w:shd w:val="clear" w:fill="AB091E"/>
          <w:noWrap/>
        </w:tcPr>
        <w:p>
          <w:pPr/>
          <w:r>
            <w:rPr>
              <w:rFonts w:ascii="Arial" w:eastAsia="Arial" w:hAnsi="Arial" w:cs="Arial"/>
              <w:sz w:val="16"/>
              <w:szCs w:val="16"/>
            </w:rPr>
            <w:t xml:space="preserve"> </w:t>
          </w:r>
        </w:p>
      </w:tc>
      <w:tc>
        <w:tcPr>
          <w:tcW w:w="2600" w:type="dxa"/>
          <w:shd w:val="clear" w:fill="AB091E"/>
        </w:tcPr>
        <w:p>
          <w:pPr/>
          <w:r>
            <w:rPr>
              <w:rFonts w:ascii="Arial" w:eastAsia="Arial" w:hAnsi="Arial" w:cs="Arial"/>
              <w:sz w:val="16"/>
              <w:szCs w:val="16"/>
            </w:rPr>
            <w:t xml:space="preserve"> </w:t>
          </w:r>
        </w:p>
      </w:tc>
      <w:tc>
        <w:tcPr>
          <w:tcW w:w="900" w:type="dxa"/>
          <w:shd w:val="clear" w:fill="AB091E"/>
        </w:tcPr>
        <w:p>
          <w:pPr/>
          <w:r>
            <w:rPr>
              <w:rFonts w:ascii="Arial" w:eastAsia="Arial" w:hAnsi="Arial" w:cs="Arial"/>
              <w:sz w:val="16"/>
              <w:szCs w:val="16"/>
            </w:rPr>
            <w:t xml:space="preserve"> </w:t>
          </w:r>
        </w:p>
      </w:tc>
    </w:tr>
    <w:tr>
      <w:trPr>
        <w:trHeight w:hRule="exact" w:val="520"/>
      </w:trPr>
      <w:tc>
        <w:tcPr>
          <w:tcW w:w="900" w:type="dxa"/>
          <w:shd w:val="clear" w:fill="FFFFFF"/>
        </w:tcPr>
        <w:p>
          <w:pPr/>
          <w:r>
            <w:rPr>
              <w:rFonts w:ascii="Arial" w:eastAsia="Arial" w:hAnsi="Arial" w:cs="Arial"/>
              <w:sz w:val="16"/>
              <w:szCs w:val="16"/>
            </w:rPr>
            <w:t xml:space="preserve"> </w:t>
          </w:r>
        </w:p>
      </w:tc>
      <w:tc>
        <w:tcPr>
          <w:tcW w:w="7700" w:type="dxa"/>
          <w:shd w:val="clear" w:fill="FFFFFF"/>
          <w:vAlign w:val="center"/>
        </w:tcPr>
        <w:p>
          <w:pPr>
            <w:spacing w:before="160"/>
            <w:jc w:val="left"/>
          </w:pPr>
          <w:r>
            <w:rPr>
              <w:rFonts w:ascii="Arial" w:eastAsia="Arial" w:hAnsi="Arial" w:cs="Arial"/>
              <w:b w:val="false"/>
              <w:bCs w:val="false"/>
              <w:color w:val="5A5A61"/>
              <w:sz w:val="18"/>
              <w:szCs w:val="18"/>
            </w:rPr>
            <w:t>Men's Clothing Stores in the US</w:t>
          </w:r>
        </w:p>
      </w:tc>
      <w:tc>
        <w:tcPr>
          <w:tcW w:w="7700" w:type="dxa"/>
          <w:shd w:val="clear" w:fill="FFFFFF"/>
          <w:vAlign w:val="center"/>
        </w:tcPr>
        <w:p>
          <w:pPr>
            <w:spacing w:before="160"/>
            <w:jc w:val="right"/>
          </w:pPr>
          <w:r>
            <w:rPr>
              <w:rFonts w:ascii="Arial" w:eastAsia="Arial" w:hAnsi="Arial" w:cs="Arial"/>
              <w:b w:val="false"/>
              <w:bCs w:val="false"/>
              <w:color w:val="5A5A61"/>
              <w:sz w:val="18"/>
              <w:szCs w:val="18"/>
            </w:rPr>
            <w:t>November 2020</w:t>
          </w:r>
        </w:p>
      </w:tc>
      <w:tc>
        <w:tcPr>
          <w:tcW w:w="900" w:type="dxa"/>
          <w:shd w:val="clear" w:fill="FFFFFF"/>
        </w:tcPr>
        <w:p>
          <w:pPr/>
          <w:r>
            <w:rPr>
              <w:rFonts w:ascii="Arial" w:eastAsia="Arial" w:hAnsi="Arial" w:cs="Arial"/>
              <w:sz w:val="16"/>
              <w:szCs w:val="16"/>
            </w:rPr>
            <w:t xml:space="preserve"> </w:t>
          </w:r>
        </w:p>
      </w:tc>
    </w:tr>
  </w:tbl>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pPr w:horzAnchor="page" w:vertAnchor="page"/>
      <w:tblW w:w="12000" w:type="dxa"/>
    </w:tblPr>
    <w:tr>
      <w:trPr>
        <w:trHeight w:hRule="exact" w:val="100"/>
      </w:trPr>
      <w:tc>
        <w:tcPr>
          <w:tcW w:w="900" w:type="dxa"/>
          <w:shd w:val="clear" w:fill="AB091E"/>
        </w:tcPr>
        <w:p>
          <w:pPr/>
          <w:r>
            <w:rPr>
              <w:rFonts w:ascii="Arial" w:eastAsia="Arial" w:hAnsi="Arial" w:cs="Arial"/>
              <w:sz w:val="16"/>
              <w:szCs w:val="16"/>
            </w:rPr>
            <w:t xml:space="preserve"> </w:t>
          </w:r>
        </w:p>
      </w:tc>
      <w:tc>
        <w:tcPr>
          <w:tcW w:w="7700" w:type="dxa"/>
          <w:shd w:val="clear" w:fill="AB091E"/>
          <w:noWrap/>
        </w:tcPr>
        <w:p>
          <w:pPr/>
          <w:r>
            <w:rPr>
              <w:rFonts w:ascii="Arial" w:eastAsia="Arial" w:hAnsi="Arial" w:cs="Arial"/>
              <w:sz w:val="16"/>
              <w:szCs w:val="16"/>
            </w:rPr>
            <w:t xml:space="preserve"> </w:t>
          </w:r>
        </w:p>
      </w:tc>
      <w:tc>
        <w:tcPr>
          <w:tcW w:w="2600" w:type="dxa"/>
          <w:shd w:val="clear" w:fill="AB091E"/>
        </w:tcPr>
        <w:p>
          <w:pPr/>
          <w:r>
            <w:rPr>
              <w:rFonts w:ascii="Arial" w:eastAsia="Arial" w:hAnsi="Arial" w:cs="Arial"/>
              <w:sz w:val="16"/>
              <w:szCs w:val="16"/>
            </w:rPr>
            <w:t xml:space="preserve"> </w:t>
          </w:r>
        </w:p>
      </w:tc>
      <w:tc>
        <w:tcPr>
          <w:tcW w:w="900" w:type="dxa"/>
          <w:shd w:val="clear" w:fill="AB091E"/>
        </w:tcPr>
        <w:p>
          <w:pPr/>
          <w:r>
            <w:rPr>
              <w:rFonts w:ascii="Arial" w:eastAsia="Arial" w:hAnsi="Arial" w:cs="Arial"/>
              <w:sz w:val="16"/>
              <w:szCs w:val="16"/>
            </w:rPr>
            <w:t xml:space="preserve"> </w:t>
          </w:r>
        </w:p>
      </w:tc>
    </w:tr>
    <w:tr>
      <w:trPr>
        <w:trHeight w:hRule="exact" w:val="520"/>
      </w:trPr>
      <w:tc>
        <w:tcPr>
          <w:tcW w:w="900" w:type="dxa"/>
          <w:shd w:val="clear" w:fill="FFFFFF"/>
        </w:tcPr>
        <w:p>
          <w:pPr/>
          <w:r>
            <w:rPr>
              <w:rFonts w:ascii="Arial" w:eastAsia="Arial" w:hAnsi="Arial" w:cs="Arial"/>
              <w:sz w:val="16"/>
              <w:szCs w:val="16"/>
            </w:rPr>
            <w:t xml:space="preserve"> </w:t>
          </w:r>
        </w:p>
      </w:tc>
      <w:tc>
        <w:tcPr>
          <w:tcW w:w="7700" w:type="dxa"/>
          <w:shd w:val="clear" w:fill="FFFFFF"/>
          <w:vAlign w:val="center"/>
        </w:tcPr>
        <w:p>
          <w:pPr>
            <w:spacing w:before="160"/>
            <w:jc w:val="left"/>
          </w:pPr>
          <w:r>
            <w:rPr>
              <w:rFonts w:ascii="Arial" w:eastAsia="Arial" w:hAnsi="Arial" w:cs="Arial"/>
              <w:b w:val="false"/>
              <w:bCs w:val="false"/>
              <w:color w:val="5A5A61"/>
              <w:sz w:val="18"/>
              <w:szCs w:val="18"/>
            </w:rPr>
            <w:t>Men's Clothing Stores in the US</w:t>
          </w:r>
        </w:p>
      </w:tc>
      <w:tc>
        <w:tcPr>
          <w:tcW w:w="7700" w:type="dxa"/>
          <w:shd w:val="clear" w:fill="FFFFFF"/>
          <w:vAlign w:val="center"/>
        </w:tcPr>
        <w:p>
          <w:pPr>
            <w:spacing w:before="160"/>
            <w:jc w:val="right"/>
          </w:pPr>
          <w:r>
            <w:rPr>
              <w:rFonts w:ascii="Arial" w:eastAsia="Arial" w:hAnsi="Arial" w:cs="Arial"/>
              <w:b w:val="false"/>
              <w:bCs w:val="false"/>
              <w:color w:val="5A5A61"/>
              <w:sz w:val="18"/>
              <w:szCs w:val="18"/>
            </w:rPr>
            <w:t>November 2020</w:t>
          </w:r>
        </w:p>
      </w:tc>
      <w:tc>
        <w:tcPr>
          <w:tcW w:w="900" w:type="dxa"/>
          <w:shd w:val="clear" w:fill="FFFFFF"/>
        </w:tcPr>
        <w:p>
          <w:pPr/>
          <w:r>
            <w:rPr>
              <w:rFonts w:ascii="Arial" w:eastAsia="Arial" w:hAnsi="Arial" w:cs="Arial"/>
              <w:sz w:val="16"/>
              <w:szCs w:val="16"/>
            </w:rPr>
            <w:t xml:space="preserve"> </w:t>
          </w:r>
        </w:p>
      </w:tc>
    </w:tr>
  </w:tbl>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pPr w:horzAnchor="page" w:vertAnchor="page"/>
      <w:tblW w:w="12000" w:type="dxa"/>
    </w:tblPr>
    <w:tr>
      <w:trPr>
        <w:trHeight w:hRule="exact" w:val="100"/>
      </w:trPr>
      <w:tc>
        <w:tcPr>
          <w:tcW w:w="900" w:type="dxa"/>
          <w:shd w:val="clear" w:fill="AB091E"/>
        </w:tcPr>
        <w:p>
          <w:pPr/>
          <w:r>
            <w:rPr>
              <w:rFonts w:ascii="Arial" w:eastAsia="Arial" w:hAnsi="Arial" w:cs="Arial"/>
              <w:sz w:val="16"/>
              <w:szCs w:val="16"/>
            </w:rPr>
            <w:t xml:space="preserve"> </w:t>
          </w:r>
        </w:p>
      </w:tc>
      <w:tc>
        <w:tcPr>
          <w:tcW w:w="7700" w:type="dxa"/>
          <w:shd w:val="clear" w:fill="AB091E"/>
          <w:noWrap/>
        </w:tcPr>
        <w:p>
          <w:pPr/>
          <w:r>
            <w:rPr>
              <w:rFonts w:ascii="Arial" w:eastAsia="Arial" w:hAnsi="Arial" w:cs="Arial"/>
              <w:sz w:val="16"/>
              <w:szCs w:val="16"/>
            </w:rPr>
            <w:t xml:space="preserve"> </w:t>
          </w:r>
        </w:p>
      </w:tc>
      <w:tc>
        <w:tcPr>
          <w:tcW w:w="2600" w:type="dxa"/>
          <w:shd w:val="clear" w:fill="AB091E"/>
        </w:tcPr>
        <w:p>
          <w:pPr/>
          <w:r>
            <w:rPr>
              <w:rFonts w:ascii="Arial" w:eastAsia="Arial" w:hAnsi="Arial" w:cs="Arial"/>
              <w:sz w:val="16"/>
              <w:szCs w:val="16"/>
            </w:rPr>
            <w:t xml:space="preserve"> </w:t>
          </w:r>
        </w:p>
      </w:tc>
      <w:tc>
        <w:tcPr>
          <w:tcW w:w="900" w:type="dxa"/>
          <w:shd w:val="clear" w:fill="AB091E"/>
        </w:tcPr>
        <w:p>
          <w:pPr/>
          <w:r>
            <w:rPr>
              <w:rFonts w:ascii="Arial" w:eastAsia="Arial" w:hAnsi="Arial" w:cs="Arial"/>
              <w:sz w:val="16"/>
              <w:szCs w:val="16"/>
            </w:rPr>
            <w:t xml:space="preserve"> </w:t>
          </w:r>
        </w:p>
      </w:tc>
    </w:tr>
    <w:tr>
      <w:trPr>
        <w:trHeight w:hRule="exact" w:val="520"/>
      </w:trPr>
      <w:tc>
        <w:tcPr>
          <w:tcW w:w="900" w:type="dxa"/>
          <w:shd w:val="clear" w:fill="FFFFFF"/>
        </w:tcPr>
        <w:p>
          <w:pPr/>
          <w:r>
            <w:rPr>
              <w:rFonts w:ascii="Arial" w:eastAsia="Arial" w:hAnsi="Arial" w:cs="Arial"/>
              <w:sz w:val="16"/>
              <w:szCs w:val="16"/>
            </w:rPr>
            <w:t xml:space="preserve"> </w:t>
          </w:r>
        </w:p>
      </w:tc>
      <w:tc>
        <w:tcPr>
          <w:tcW w:w="7700" w:type="dxa"/>
          <w:shd w:val="clear" w:fill="FFFFFF"/>
          <w:vAlign w:val="center"/>
        </w:tcPr>
        <w:p>
          <w:pPr>
            <w:spacing w:before="160"/>
            <w:jc w:val="left"/>
          </w:pPr>
          <w:r>
            <w:rPr>
              <w:rFonts w:ascii="Arial" w:eastAsia="Arial" w:hAnsi="Arial" w:cs="Arial"/>
              <w:b w:val="false"/>
              <w:bCs w:val="false"/>
              <w:color w:val="5A5A61"/>
              <w:sz w:val="18"/>
              <w:szCs w:val="18"/>
            </w:rPr>
            <w:t>Men's Clothing Stores in the US</w:t>
          </w:r>
        </w:p>
      </w:tc>
      <w:tc>
        <w:tcPr>
          <w:tcW w:w="7700" w:type="dxa"/>
          <w:shd w:val="clear" w:fill="FFFFFF"/>
          <w:vAlign w:val="center"/>
        </w:tcPr>
        <w:p>
          <w:pPr>
            <w:spacing w:before="160"/>
            <w:jc w:val="right"/>
          </w:pPr>
          <w:r>
            <w:rPr>
              <w:rFonts w:ascii="Arial" w:eastAsia="Arial" w:hAnsi="Arial" w:cs="Arial"/>
              <w:b w:val="false"/>
              <w:bCs w:val="false"/>
              <w:color w:val="5A5A61"/>
              <w:sz w:val="18"/>
              <w:szCs w:val="18"/>
            </w:rPr>
            <w:t>November 2020</w:t>
          </w:r>
        </w:p>
      </w:tc>
      <w:tc>
        <w:tcPr>
          <w:tcW w:w="900" w:type="dxa"/>
          <w:shd w:val="clear" w:fill="FFFFFF"/>
        </w:tcPr>
        <w:p>
          <w:pPr/>
          <w:r>
            <w:rPr>
              <w:rFonts w:ascii="Arial" w:eastAsia="Arial" w:hAnsi="Arial" w:cs="Arial"/>
              <w:sz w:val="16"/>
              <w:szCs w:val="16"/>
            </w:rPr>
            <w:t xml:space="preserve"> </w:t>
          </w: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pPr w:horzAnchor="page" w:vertAnchor="page"/>
      <w:tblW w:w="12000" w:type="dxa"/>
    </w:tblPr>
    <w:tr>
      <w:trPr>
        <w:trHeight w:hRule="exact" w:val="100"/>
      </w:trPr>
      <w:tc>
        <w:tcPr>
          <w:tcW w:w="900" w:type="dxa"/>
          <w:shd w:val="clear" w:fill="AB091E"/>
        </w:tcPr>
        <w:p>
          <w:pPr/>
          <w:r>
            <w:rPr>
              <w:rFonts w:ascii="Arial" w:eastAsia="Arial" w:hAnsi="Arial" w:cs="Arial"/>
              <w:sz w:val="16"/>
              <w:szCs w:val="16"/>
            </w:rPr>
            <w:t xml:space="preserve"> </w:t>
          </w:r>
        </w:p>
      </w:tc>
      <w:tc>
        <w:tcPr>
          <w:tcW w:w="7700" w:type="dxa"/>
          <w:shd w:val="clear" w:fill="AB091E"/>
          <w:noWrap/>
        </w:tcPr>
        <w:p>
          <w:pPr/>
          <w:r>
            <w:rPr>
              <w:rFonts w:ascii="Arial" w:eastAsia="Arial" w:hAnsi="Arial" w:cs="Arial"/>
              <w:sz w:val="16"/>
              <w:szCs w:val="16"/>
            </w:rPr>
            <w:t xml:space="preserve"> </w:t>
          </w:r>
        </w:p>
      </w:tc>
      <w:tc>
        <w:tcPr>
          <w:tcW w:w="2600" w:type="dxa"/>
          <w:shd w:val="clear" w:fill="AB091E"/>
        </w:tcPr>
        <w:p>
          <w:pPr/>
          <w:r>
            <w:rPr>
              <w:rFonts w:ascii="Arial" w:eastAsia="Arial" w:hAnsi="Arial" w:cs="Arial"/>
              <w:sz w:val="16"/>
              <w:szCs w:val="16"/>
            </w:rPr>
            <w:t xml:space="preserve"> </w:t>
          </w:r>
        </w:p>
      </w:tc>
      <w:tc>
        <w:tcPr>
          <w:tcW w:w="900" w:type="dxa"/>
          <w:shd w:val="clear" w:fill="AB091E"/>
        </w:tcPr>
        <w:p>
          <w:pPr/>
          <w:r>
            <w:rPr>
              <w:rFonts w:ascii="Arial" w:eastAsia="Arial" w:hAnsi="Arial" w:cs="Arial"/>
              <w:sz w:val="16"/>
              <w:szCs w:val="16"/>
            </w:rPr>
            <w:t xml:space="preserve"> </w:t>
          </w:r>
        </w:p>
      </w:tc>
    </w:tr>
    <w:tr>
      <w:trPr>
        <w:trHeight w:hRule="exact" w:val="520"/>
      </w:trPr>
      <w:tc>
        <w:tcPr>
          <w:tcW w:w="900" w:type="dxa"/>
          <w:shd w:val="clear" w:fill="FFFFFF"/>
        </w:tcPr>
        <w:p>
          <w:pPr/>
          <w:r>
            <w:rPr>
              <w:rFonts w:ascii="Arial" w:eastAsia="Arial" w:hAnsi="Arial" w:cs="Arial"/>
              <w:sz w:val="16"/>
              <w:szCs w:val="16"/>
            </w:rPr>
            <w:t xml:space="preserve"> </w:t>
          </w:r>
        </w:p>
      </w:tc>
      <w:tc>
        <w:tcPr>
          <w:tcW w:w="7700" w:type="dxa"/>
          <w:shd w:val="clear" w:fill="FFFFFF"/>
          <w:vAlign w:val="center"/>
        </w:tcPr>
        <w:p>
          <w:pPr>
            <w:spacing w:before="160"/>
            <w:jc w:val="left"/>
          </w:pPr>
          <w:r>
            <w:rPr>
              <w:rFonts w:ascii="Arial" w:eastAsia="Arial" w:hAnsi="Arial" w:cs="Arial"/>
              <w:b w:val="false"/>
              <w:bCs w:val="false"/>
              <w:color w:val="5A5A61"/>
              <w:sz w:val="18"/>
              <w:szCs w:val="18"/>
            </w:rPr>
            <w:t>Men's Clothing Stores in the US</w:t>
          </w:r>
        </w:p>
      </w:tc>
      <w:tc>
        <w:tcPr>
          <w:tcW w:w="7700" w:type="dxa"/>
          <w:shd w:val="clear" w:fill="FFFFFF"/>
          <w:vAlign w:val="center"/>
        </w:tcPr>
        <w:p>
          <w:pPr>
            <w:spacing w:before="160"/>
            <w:jc w:val="right"/>
          </w:pPr>
          <w:r>
            <w:rPr>
              <w:rFonts w:ascii="Arial" w:eastAsia="Arial" w:hAnsi="Arial" w:cs="Arial"/>
              <w:b w:val="false"/>
              <w:bCs w:val="false"/>
              <w:color w:val="5A5A61"/>
              <w:sz w:val="18"/>
              <w:szCs w:val="18"/>
            </w:rPr>
            <w:t>November 2020</w:t>
          </w:r>
        </w:p>
      </w:tc>
      <w:tc>
        <w:tcPr>
          <w:tcW w:w="900" w:type="dxa"/>
          <w:shd w:val="clear" w:fill="FFFFFF"/>
        </w:tcPr>
        <w:p>
          <w:pPr/>
          <w:r>
            <w:rPr>
              <w:rFonts w:ascii="Arial" w:eastAsia="Arial" w:hAnsi="Arial" w:cs="Arial"/>
              <w:sz w:val="16"/>
              <w:szCs w:val="16"/>
            </w:rPr>
            <w:t xml:space="preserve"> </w:t>
          </w: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pPr w:horzAnchor="page" w:vertAnchor="page"/>
      <w:tblW w:w="12000" w:type="dxa"/>
    </w:tblPr>
    <w:tr>
      <w:trPr>
        <w:trHeight w:hRule="exact" w:val="100"/>
      </w:trPr>
      <w:tc>
        <w:tcPr>
          <w:tcW w:w="900" w:type="dxa"/>
          <w:shd w:val="clear" w:fill="AB091E"/>
        </w:tcPr>
        <w:p>
          <w:pPr/>
          <w:r>
            <w:rPr>
              <w:rFonts w:ascii="Arial" w:eastAsia="Arial" w:hAnsi="Arial" w:cs="Arial"/>
              <w:sz w:val="16"/>
              <w:szCs w:val="16"/>
            </w:rPr>
            <w:t xml:space="preserve"> </w:t>
          </w:r>
        </w:p>
      </w:tc>
      <w:tc>
        <w:tcPr>
          <w:tcW w:w="7700" w:type="dxa"/>
          <w:shd w:val="clear" w:fill="AB091E"/>
          <w:noWrap/>
        </w:tcPr>
        <w:p>
          <w:pPr/>
          <w:r>
            <w:rPr>
              <w:rFonts w:ascii="Arial" w:eastAsia="Arial" w:hAnsi="Arial" w:cs="Arial"/>
              <w:sz w:val="16"/>
              <w:szCs w:val="16"/>
            </w:rPr>
            <w:t xml:space="preserve"> </w:t>
          </w:r>
        </w:p>
      </w:tc>
      <w:tc>
        <w:tcPr>
          <w:tcW w:w="2600" w:type="dxa"/>
          <w:shd w:val="clear" w:fill="AB091E"/>
        </w:tcPr>
        <w:p>
          <w:pPr/>
          <w:r>
            <w:rPr>
              <w:rFonts w:ascii="Arial" w:eastAsia="Arial" w:hAnsi="Arial" w:cs="Arial"/>
              <w:sz w:val="16"/>
              <w:szCs w:val="16"/>
            </w:rPr>
            <w:t xml:space="preserve"> </w:t>
          </w:r>
        </w:p>
      </w:tc>
      <w:tc>
        <w:tcPr>
          <w:tcW w:w="900" w:type="dxa"/>
          <w:shd w:val="clear" w:fill="AB091E"/>
        </w:tcPr>
        <w:p>
          <w:pPr/>
          <w:r>
            <w:rPr>
              <w:rFonts w:ascii="Arial" w:eastAsia="Arial" w:hAnsi="Arial" w:cs="Arial"/>
              <w:sz w:val="16"/>
              <w:szCs w:val="16"/>
            </w:rPr>
            <w:t xml:space="preserve"> </w:t>
          </w:r>
        </w:p>
      </w:tc>
    </w:tr>
    <w:tr>
      <w:trPr>
        <w:trHeight w:hRule="exact" w:val="520"/>
      </w:trPr>
      <w:tc>
        <w:tcPr>
          <w:tcW w:w="900" w:type="dxa"/>
          <w:shd w:val="clear" w:fill="FFFFFF"/>
        </w:tcPr>
        <w:p>
          <w:pPr/>
          <w:r>
            <w:rPr>
              <w:rFonts w:ascii="Arial" w:eastAsia="Arial" w:hAnsi="Arial" w:cs="Arial"/>
              <w:sz w:val="16"/>
              <w:szCs w:val="16"/>
            </w:rPr>
            <w:t xml:space="preserve"> </w:t>
          </w:r>
        </w:p>
      </w:tc>
      <w:tc>
        <w:tcPr>
          <w:tcW w:w="7700" w:type="dxa"/>
          <w:shd w:val="clear" w:fill="FFFFFF"/>
          <w:vAlign w:val="center"/>
        </w:tcPr>
        <w:p>
          <w:pPr>
            <w:spacing w:before="160"/>
            <w:jc w:val="left"/>
          </w:pPr>
          <w:r>
            <w:rPr>
              <w:rFonts w:ascii="Arial" w:eastAsia="Arial" w:hAnsi="Arial" w:cs="Arial"/>
              <w:b w:val="false"/>
              <w:bCs w:val="false"/>
              <w:color w:val="5A5A61"/>
              <w:sz w:val="18"/>
              <w:szCs w:val="18"/>
            </w:rPr>
            <w:t>Men's Clothing Stores in the US</w:t>
          </w:r>
        </w:p>
      </w:tc>
      <w:tc>
        <w:tcPr>
          <w:tcW w:w="7700" w:type="dxa"/>
          <w:shd w:val="clear" w:fill="FFFFFF"/>
          <w:vAlign w:val="center"/>
        </w:tcPr>
        <w:p>
          <w:pPr>
            <w:spacing w:before="160"/>
            <w:jc w:val="right"/>
          </w:pPr>
          <w:r>
            <w:rPr>
              <w:rFonts w:ascii="Arial" w:eastAsia="Arial" w:hAnsi="Arial" w:cs="Arial"/>
              <w:b w:val="false"/>
              <w:bCs w:val="false"/>
              <w:color w:val="5A5A61"/>
              <w:sz w:val="18"/>
              <w:szCs w:val="18"/>
            </w:rPr>
            <w:t>November 2020</w:t>
          </w:r>
        </w:p>
      </w:tc>
      <w:tc>
        <w:tcPr>
          <w:tcW w:w="900" w:type="dxa"/>
          <w:shd w:val="clear" w:fill="FFFFFF"/>
        </w:tcPr>
        <w:p>
          <w:pPr/>
          <w:r>
            <w:rPr>
              <w:rFonts w:ascii="Arial" w:eastAsia="Arial" w:hAnsi="Arial" w:cs="Arial"/>
              <w:sz w:val="16"/>
              <w:szCs w:val="16"/>
            </w:rPr>
            <w:t xml:space="preserve"> </w:t>
          </w: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pPr w:horzAnchor="page" w:vertAnchor="page"/>
      <w:tblW w:w="12000" w:type="dxa"/>
    </w:tblPr>
    <w:tr>
      <w:trPr>
        <w:trHeight w:hRule="exact" w:val="100"/>
      </w:trPr>
      <w:tc>
        <w:tcPr>
          <w:tcW w:w="900" w:type="dxa"/>
          <w:shd w:val="clear" w:fill="AB091E"/>
        </w:tcPr>
        <w:p>
          <w:pPr/>
          <w:r>
            <w:rPr>
              <w:rFonts w:ascii="Arial" w:eastAsia="Arial" w:hAnsi="Arial" w:cs="Arial"/>
              <w:sz w:val="16"/>
              <w:szCs w:val="16"/>
            </w:rPr>
            <w:t xml:space="preserve"> </w:t>
          </w:r>
        </w:p>
      </w:tc>
      <w:tc>
        <w:tcPr>
          <w:tcW w:w="7700" w:type="dxa"/>
          <w:shd w:val="clear" w:fill="AB091E"/>
          <w:noWrap/>
        </w:tcPr>
        <w:p>
          <w:pPr/>
          <w:r>
            <w:rPr>
              <w:rFonts w:ascii="Arial" w:eastAsia="Arial" w:hAnsi="Arial" w:cs="Arial"/>
              <w:sz w:val="16"/>
              <w:szCs w:val="16"/>
            </w:rPr>
            <w:t xml:space="preserve"> </w:t>
          </w:r>
        </w:p>
      </w:tc>
      <w:tc>
        <w:tcPr>
          <w:tcW w:w="2600" w:type="dxa"/>
          <w:shd w:val="clear" w:fill="AB091E"/>
        </w:tcPr>
        <w:p>
          <w:pPr/>
          <w:r>
            <w:rPr>
              <w:rFonts w:ascii="Arial" w:eastAsia="Arial" w:hAnsi="Arial" w:cs="Arial"/>
              <w:sz w:val="16"/>
              <w:szCs w:val="16"/>
            </w:rPr>
            <w:t xml:space="preserve"> </w:t>
          </w:r>
        </w:p>
      </w:tc>
      <w:tc>
        <w:tcPr>
          <w:tcW w:w="900" w:type="dxa"/>
          <w:shd w:val="clear" w:fill="AB091E"/>
        </w:tcPr>
        <w:p>
          <w:pPr/>
          <w:r>
            <w:rPr>
              <w:rFonts w:ascii="Arial" w:eastAsia="Arial" w:hAnsi="Arial" w:cs="Arial"/>
              <w:sz w:val="16"/>
              <w:szCs w:val="16"/>
            </w:rPr>
            <w:t xml:space="preserve"> </w:t>
          </w:r>
        </w:p>
      </w:tc>
    </w:tr>
    <w:tr>
      <w:trPr>
        <w:trHeight w:hRule="exact" w:val="520"/>
      </w:trPr>
      <w:tc>
        <w:tcPr>
          <w:tcW w:w="900" w:type="dxa"/>
          <w:shd w:val="clear" w:fill="FFFFFF"/>
        </w:tcPr>
        <w:p>
          <w:pPr/>
          <w:r>
            <w:rPr>
              <w:rFonts w:ascii="Arial" w:eastAsia="Arial" w:hAnsi="Arial" w:cs="Arial"/>
              <w:sz w:val="16"/>
              <w:szCs w:val="16"/>
            </w:rPr>
            <w:t xml:space="preserve"> </w:t>
          </w:r>
        </w:p>
      </w:tc>
      <w:tc>
        <w:tcPr>
          <w:tcW w:w="7700" w:type="dxa"/>
          <w:shd w:val="clear" w:fill="FFFFFF"/>
          <w:vAlign w:val="center"/>
        </w:tcPr>
        <w:p>
          <w:pPr>
            <w:spacing w:before="160"/>
            <w:jc w:val="left"/>
          </w:pPr>
          <w:r>
            <w:rPr>
              <w:rFonts w:ascii="Arial" w:eastAsia="Arial" w:hAnsi="Arial" w:cs="Arial"/>
              <w:b w:val="false"/>
              <w:bCs w:val="false"/>
              <w:color w:val="5A5A61"/>
              <w:sz w:val="18"/>
              <w:szCs w:val="18"/>
            </w:rPr>
            <w:t>Men's Clothing Stores in the US</w:t>
          </w:r>
        </w:p>
      </w:tc>
      <w:tc>
        <w:tcPr>
          <w:tcW w:w="7700" w:type="dxa"/>
          <w:shd w:val="clear" w:fill="FFFFFF"/>
          <w:vAlign w:val="center"/>
        </w:tcPr>
        <w:p>
          <w:pPr>
            <w:spacing w:before="160"/>
            <w:jc w:val="right"/>
          </w:pPr>
          <w:r>
            <w:rPr>
              <w:rFonts w:ascii="Arial" w:eastAsia="Arial" w:hAnsi="Arial" w:cs="Arial"/>
              <w:b w:val="false"/>
              <w:bCs w:val="false"/>
              <w:color w:val="5A5A61"/>
              <w:sz w:val="18"/>
              <w:szCs w:val="18"/>
            </w:rPr>
            <w:t>November 2020</w:t>
          </w:r>
        </w:p>
      </w:tc>
      <w:tc>
        <w:tcPr>
          <w:tcW w:w="900" w:type="dxa"/>
          <w:shd w:val="clear" w:fill="FFFFFF"/>
        </w:tcPr>
        <w:p>
          <w:pPr/>
          <w:r>
            <w:rPr>
              <w:rFonts w:ascii="Arial" w:eastAsia="Arial" w:hAnsi="Arial" w:cs="Arial"/>
              <w:sz w:val="16"/>
              <w:szCs w:val="16"/>
            </w:rPr>
            <w:t xml:space="preserve"> </w:t>
          </w:r>
        </w:p>
      </w:tc>
    </w:tr>
  </w:tbl>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pPr w:horzAnchor="page" w:vertAnchor="page"/>
      <w:tblW w:w="12000" w:type="dxa"/>
    </w:tblPr>
    <w:tr>
      <w:trPr>
        <w:trHeight w:hRule="exact" w:val="100"/>
      </w:trPr>
      <w:tc>
        <w:tcPr>
          <w:tcW w:w="900" w:type="dxa"/>
          <w:shd w:val="clear" w:fill="AB091E"/>
        </w:tcPr>
        <w:p>
          <w:pPr/>
          <w:r>
            <w:rPr>
              <w:rFonts w:ascii="Arial" w:eastAsia="Arial" w:hAnsi="Arial" w:cs="Arial"/>
              <w:sz w:val="16"/>
              <w:szCs w:val="16"/>
            </w:rPr>
            <w:t xml:space="preserve"> </w:t>
          </w:r>
        </w:p>
      </w:tc>
      <w:tc>
        <w:tcPr>
          <w:tcW w:w="7700" w:type="dxa"/>
          <w:shd w:val="clear" w:fill="AB091E"/>
          <w:noWrap/>
        </w:tcPr>
        <w:p>
          <w:pPr/>
          <w:r>
            <w:rPr>
              <w:rFonts w:ascii="Arial" w:eastAsia="Arial" w:hAnsi="Arial" w:cs="Arial"/>
              <w:sz w:val="16"/>
              <w:szCs w:val="16"/>
            </w:rPr>
            <w:t xml:space="preserve"> </w:t>
          </w:r>
        </w:p>
      </w:tc>
      <w:tc>
        <w:tcPr>
          <w:tcW w:w="2600" w:type="dxa"/>
          <w:shd w:val="clear" w:fill="AB091E"/>
        </w:tcPr>
        <w:p>
          <w:pPr/>
          <w:r>
            <w:rPr>
              <w:rFonts w:ascii="Arial" w:eastAsia="Arial" w:hAnsi="Arial" w:cs="Arial"/>
              <w:sz w:val="16"/>
              <w:szCs w:val="16"/>
            </w:rPr>
            <w:t xml:space="preserve"> </w:t>
          </w:r>
        </w:p>
      </w:tc>
      <w:tc>
        <w:tcPr>
          <w:tcW w:w="900" w:type="dxa"/>
          <w:shd w:val="clear" w:fill="AB091E"/>
        </w:tcPr>
        <w:p>
          <w:pPr/>
          <w:r>
            <w:rPr>
              <w:rFonts w:ascii="Arial" w:eastAsia="Arial" w:hAnsi="Arial" w:cs="Arial"/>
              <w:sz w:val="16"/>
              <w:szCs w:val="16"/>
            </w:rPr>
            <w:t xml:space="preserve"> </w:t>
          </w:r>
        </w:p>
      </w:tc>
    </w:tr>
    <w:tr>
      <w:trPr>
        <w:trHeight w:hRule="exact" w:val="520"/>
      </w:trPr>
      <w:tc>
        <w:tcPr>
          <w:tcW w:w="900" w:type="dxa"/>
          <w:shd w:val="clear" w:fill="FFFFFF"/>
        </w:tcPr>
        <w:p>
          <w:pPr/>
          <w:r>
            <w:rPr>
              <w:rFonts w:ascii="Arial" w:eastAsia="Arial" w:hAnsi="Arial" w:cs="Arial"/>
              <w:sz w:val="16"/>
              <w:szCs w:val="16"/>
            </w:rPr>
            <w:t xml:space="preserve"> </w:t>
          </w:r>
        </w:p>
      </w:tc>
      <w:tc>
        <w:tcPr>
          <w:tcW w:w="7700" w:type="dxa"/>
          <w:shd w:val="clear" w:fill="FFFFFF"/>
          <w:vAlign w:val="center"/>
        </w:tcPr>
        <w:p>
          <w:pPr>
            <w:spacing w:before="160"/>
            <w:jc w:val="left"/>
          </w:pPr>
          <w:r>
            <w:rPr>
              <w:rFonts w:ascii="Arial" w:eastAsia="Arial" w:hAnsi="Arial" w:cs="Arial"/>
              <w:b w:val="false"/>
              <w:bCs w:val="false"/>
              <w:color w:val="5A5A61"/>
              <w:sz w:val="18"/>
              <w:szCs w:val="18"/>
            </w:rPr>
            <w:t>Men's Clothing Stores in the US</w:t>
          </w:r>
        </w:p>
      </w:tc>
      <w:tc>
        <w:tcPr>
          <w:tcW w:w="7700" w:type="dxa"/>
          <w:shd w:val="clear" w:fill="FFFFFF"/>
          <w:vAlign w:val="center"/>
        </w:tcPr>
        <w:p>
          <w:pPr>
            <w:spacing w:before="160"/>
            <w:jc w:val="right"/>
          </w:pPr>
          <w:r>
            <w:rPr>
              <w:rFonts w:ascii="Arial" w:eastAsia="Arial" w:hAnsi="Arial" w:cs="Arial"/>
              <w:b w:val="false"/>
              <w:bCs w:val="false"/>
              <w:color w:val="5A5A61"/>
              <w:sz w:val="18"/>
              <w:szCs w:val="18"/>
            </w:rPr>
            <w:t>November 2020</w:t>
          </w:r>
        </w:p>
      </w:tc>
      <w:tc>
        <w:tcPr>
          <w:tcW w:w="900" w:type="dxa"/>
          <w:shd w:val="clear" w:fill="FFFFFF"/>
        </w:tcPr>
        <w:p>
          <w:pPr/>
          <w:r>
            <w:rPr>
              <w:rFonts w:ascii="Arial" w:eastAsia="Arial" w:hAnsi="Arial" w:cs="Arial"/>
              <w:sz w:val="16"/>
              <w:szCs w:val="16"/>
            </w:rPr>
            <w:t xml:space="preserve"> </w:t>
          </w:r>
        </w:p>
      </w:tc>
    </w:tr>
  </w:tbl>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pPr w:horzAnchor="page" w:vertAnchor="page"/>
      <w:tblW w:w="12000" w:type="dxa"/>
    </w:tblPr>
    <w:tr>
      <w:trPr>
        <w:trHeight w:hRule="exact" w:val="100"/>
      </w:trPr>
      <w:tc>
        <w:tcPr>
          <w:tcW w:w="900" w:type="dxa"/>
          <w:shd w:val="clear" w:fill="AB091E"/>
        </w:tcPr>
        <w:p>
          <w:pPr/>
          <w:r>
            <w:rPr>
              <w:rFonts w:ascii="Arial" w:eastAsia="Arial" w:hAnsi="Arial" w:cs="Arial"/>
              <w:sz w:val="16"/>
              <w:szCs w:val="16"/>
            </w:rPr>
            <w:t xml:space="preserve"> </w:t>
          </w:r>
        </w:p>
      </w:tc>
      <w:tc>
        <w:tcPr>
          <w:tcW w:w="7700" w:type="dxa"/>
          <w:shd w:val="clear" w:fill="AB091E"/>
          <w:noWrap/>
        </w:tcPr>
        <w:p>
          <w:pPr/>
          <w:r>
            <w:rPr>
              <w:rFonts w:ascii="Arial" w:eastAsia="Arial" w:hAnsi="Arial" w:cs="Arial"/>
              <w:sz w:val="16"/>
              <w:szCs w:val="16"/>
            </w:rPr>
            <w:t xml:space="preserve"> </w:t>
          </w:r>
        </w:p>
      </w:tc>
      <w:tc>
        <w:tcPr>
          <w:tcW w:w="2600" w:type="dxa"/>
          <w:shd w:val="clear" w:fill="AB091E"/>
        </w:tcPr>
        <w:p>
          <w:pPr/>
          <w:r>
            <w:rPr>
              <w:rFonts w:ascii="Arial" w:eastAsia="Arial" w:hAnsi="Arial" w:cs="Arial"/>
              <w:sz w:val="16"/>
              <w:szCs w:val="16"/>
            </w:rPr>
            <w:t xml:space="preserve"> </w:t>
          </w:r>
        </w:p>
      </w:tc>
      <w:tc>
        <w:tcPr>
          <w:tcW w:w="900" w:type="dxa"/>
          <w:shd w:val="clear" w:fill="AB091E"/>
        </w:tcPr>
        <w:p>
          <w:pPr/>
          <w:r>
            <w:rPr>
              <w:rFonts w:ascii="Arial" w:eastAsia="Arial" w:hAnsi="Arial" w:cs="Arial"/>
              <w:sz w:val="16"/>
              <w:szCs w:val="16"/>
            </w:rPr>
            <w:t xml:space="preserve"> </w:t>
          </w:r>
        </w:p>
      </w:tc>
    </w:tr>
    <w:tr>
      <w:trPr>
        <w:trHeight w:hRule="exact" w:val="520"/>
      </w:trPr>
      <w:tc>
        <w:tcPr>
          <w:tcW w:w="900" w:type="dxa"/>
          <w:shd w:val="clear" w:fill="FFFFFF"/>
        </w:tcPr>
        <w:p>
          <w:pPr/>
          <w:r>
            <w:rPr>
              <w:rFonts w:ascii="Arial" w:eastAsia="Arial" w:hAnsi="Arial" w:cs="Arial"/>
              <w:sz w:val="16"/>
              <w:szCs w:val="16"/>
            </w:rPr>
            <w:t xml:space="preserve"> </w:t>
          </w:r>
        </w:p>
      </w:tc>
      <w:tc>
        <w:tcPr>
          <w:tcW w:w="7700" w:type="dxa"/>
          <w:shd w:val="clear" w:fill="FFFFFF"/>
          <w:vAlign w:val="center"/>
        </w:tcPr>
        <w:p>
          <w:pPr>
            <w:spacing w:before="160"/>
            <w:jc w:val="left"/>
          </w:pPr>
          <w:r>
            <w:rPr>
              <w:rFonts w:ascii="Arial" w:eastAsia="Arial" w:hAnsi="Arial" w:cs="Arial"/>
              <w:b w:val="false"/>
              <w:bCs w:val="false"/>
              <w:color w:val="5A5A61"/>
              <w:sz w:val="18"/>
              <w:szCs w:val="18"/>
            </w:rPr>
            <w:t>Men's Clothing Stores in the US</w:t>
          </w:r>
        </w:p>
      </w:tc>
      <w:tc>
        <w:tcPr>
          <w:tcW w:w="7700" w:type="dxa"/>
          <w:shd w:val="clear" w:fill="FFFFFF"/>
          <w:vAlign w:val="center"/>
        </w:tcPr>
        <w:p>
          <w:pPr>
            <w:spacing w:before="160"/>
            <w:jc w:val="right"/>
          </w:pPr>
          <w:r>
            <w:rPr>
              <w:rFonts w:ascii="Arial" w:eastAsia="Arial" w:hAnsi="Arial" w:cs="Arial"/>
              <w:b w:val="false"/>
              <w:bCs w:val="false"/>
              <w:color w:val="5A5A61"/>
              <w:sz w:val="18"/>
              <w:szCs w:val="18"/>
            </w:rPr>
            <w:t>November 2020</w:t>
          </w:r>
        </w:p>
      </w:tc>
      <w:tc>
        <w:tcPr>
          <w:tcW w:w="900" w:type="dxa"/>
          <w:shd w:val="clear" w:fill="FFFFFF"/>
        </w:tcPr>
        <w:p>
          <w:pPr/>
          <w:r>
            <w:rPr>
              <w:rFonts w:ascii="Arial" w:eastAsia="Arial" w:hAnsi="Arial" w:cs="Arial"/>
              <w:sz w:val="16"/>
              <w:szCs w:val="16"/>
            </w:rPr>
            <w:t xml:space="preserve"> </w:t>
          </w:r>
        </w:p>
      </w:tc>
    </w:tr>
  </w:tbl>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tbl>
    <w:tblPr>
      <w:tblpPr w:horzAnchor="page" w:vertAnchor="page"/>
      <w:tblW w:w="12000" w:type="dxa"/>
    </w:tblPr>
    <w:tr>
      <w:trPr>
        <w:trHeight w:hRule="exact" w:val="100"/>
      </w:trPr>
      <w:tc>
        <w:tcPr>
          <w:tcW w:w="900" w:type="dxa"/>
          <w:shd w:val="clear" w:fill="AB091E"/>
        </w:tcPr>
        <w:p>
          <w:pPr/>
          <w:r>
            <w:rPr>
              <w:rFonts w:ascii="Arial" w:eastAsia="Arial" w:hAnsi="Arial" w:cs="Arial"/>
              <w:sz w:val="16"/>
              <w:szCs w:val="16"/>
            </w:rPr>
            <w:t xml:space="preserve"> </w:t>
          </w:r>
        </w:p>
      </w:tc>
      <w:tc>
        <w:tcPr>
          <w:tcW w:w="7700" w:type="dxa"/>
          <w:shd w:val="clear" w:fill="AB091E"/>
          <w:noWrap/>
        </w:tcPr>
        <w:p>
          <w:pPr/>
          <w:r>
            <w:rPr>
              <w:rFonts w:ascii="Arial" w:eastAsia="Arial" w:hAnsi="Arial" w:cs="Arial"/>
              <w:sz w:val="16"/>
              <w:szCs w:val="16"/>
            </w:rPr>
            <w:t xml:space="preserve"> </w:t>
          </w:r>
        </w:p>
      </w:tc>
      <w:tc>
        <w:tcPr>
          <w:tcW w:w="2600" w:type="dxa"/>
          <w:shd w:val="clear" w:fill="AB091E"/>
        </w:tcPr>
        <w:p>
          <w:pPr/>
          <w:r>
            <w:rPr>
              <w:rFonts w:ascii="Arial" w:eastAsia="Arial" w:hAnsi="Arial" w:cs="Arial"/>
              <w:sz w:val="16"/>
              <w:szCs w:val="16"/>
            </w:rPr>
            <w:t xml:space="preserve"> </w:t>
          </w:r>
        </w:p>
      </w:tc>
      <w:tc>
        <w:tcPr>
          <w:tcW w:w="900" w:type="dxa"/>
          <w:shd w:val="clear" w:fill="AB091E"/>
        </w:tcPr>
        <w:p>
          <w:pPr/>
          <w:r>
            <w:rPr>
              <w:rFonts w:ascii="Arial" w:eastAsia="Arial" w:hAnsi="Arial" w:cs="Arial"/>
              <w:sz w:val="16"/>
              <w:szCs w:val="16"/>
            </w:rPr>
            <w:t xml:space="preserve"> </w:t>
          </w:r>
        </w:p>
      </w:tc>
    </w:tr>
    <w:tr>
      <w:trPr>
        <w:trHeight w:hRule="exact" w:val="520"/>
      </w:trPr>
      <w:tc>
        <w:tcPr>
          <w:tcW w:w="900" w:type="dxa"/>
          <w:shd w:val="clear" w:fill="FFFFFF"/>
        </w:tcPr>
        <w:p>
          <w:pPr/>
          <w:r>
            <w:rPr>
              <w:rFonts w:ascii="Arial" w:eastAsia="Arial" w:hAnsi="Arial" w:cs="Arial"/>
              <w:sz w:val="16"/>
              <w:szCs w:val="16"/>
            </w:rPr>
            <w:t xml:space="preserve"> </w:t>
          </w:r>
        </w:p>
      </w:tc>
      <w:tc>
        <w:tcPr>
          <w:tcW w:w="7700" w:type="dxa"/>
          <w:shd w:val="clear" w:fill="FFFFFF"/>
          <w:vAlign w:val="center"/>
        </w:tcPr>
        <w:p>
          <w:pPr>
            <w:spacing w:before="160"/>
            <w:jc w:val="left"/>
          </w:pPr>
          <w:r>
            <w:rPr>
              <w:rFonts w:ascii="Arial" w:eastAsia="Arial" w:hAnsi="Arial" w:cs="Arial"/>
              <w:b w:val="false"/>
              <w:bCs w:val="false"/>
              <w:color w:val="5A5A61"/>
              <w:sz w:val="18"/>
              <w:szCs w:val="18"/>
            </w:rPr>
            <w:t>Men's Clothing Stores in the US</w:t>
          </w:r>
        </w:p>
      </w:tc>
      <w:tc>
        <w:tcPr>
          <w:tcW w:w="7700" w:type="dxa"/>
          <w:shd w:val="clear" w:fill="FFFFFF"/>
          <w:vAlign w:val="center"/>
        </w:tcPr>
        <w:p>
          <w:pPr>
            <w:spacing w:before="160"/>
            <w:jc w:val="right"/>
          </w:pPr>
          <w:r>
            <w:rPr>
              <w:rFonts w:ascii="Arial" w:eastAsia="Arial" w:hAnsi="Arial" w:cs="Arial"/>
              <w:b w:val="false"/>
              <w:bCs w:val="false"/>
              <w:color w:val="5A5A61"/>
              <w:sz w:val="18"/>
              <w:szCs w:val="18"/>
            </w:rPr>
            <w:t>November 2020</w:t>
          </w:r>
        </w:p>
      </w:tc>
      <w:tc>
        <w:tcPr>
          <w:tcW w:w="900" w:type="dxa"/>
          <w:shd w:val="clear" w:fill="FFFFFF"/>
        </w:tcPr>
        <w:p>
          <w:pPr/>
          <w:r>
            <w:rPr>
              <w:rFonts w:ascii="Arial" w:eastAsia="Arial" w:hAnsi="Arial" w:cs="Arial"/>
              <w:sz w:val="16"/>
              <w:szCs w:val="16"/>
            </w:rPr>
            <w:t xml:space="preserve"> </w: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lvl w:ilvl="0">
      <w:start w:val="1"/>
      <w:numFmt w:val="none"/>
      <w:lvlText w:val=" "/>
      <w:lvlJc w:val="left"/>
      <w:pPr>
        <w:ind w:left="1080" w:hanging="360"/>
      </w:pPr>
    </w:lvl>
    <w:lvl w:ilvl="1">
      <w:start w:val="1"/>
      <w:numFmt w:val="none"/>
      <w:lvlText w:val=" "/>
      <w:lvlJc w:val="left"/>
      <w:pPr>
        <w:ind w:left="1800" w:hanging="360"/>
      </w:pPr>
    </w:lvl>
    <w:lvl w:ilvl="2">
      <w:start w:val="1"/>
      <w:numFmt w:val="none"/>
      <w:lvlText w:val=" "/>
      <w:lvlJc w:val="left"/>
      <w:pPr>
        <w:ind w:left="2520" w:hanging="360"/>
      </w:pPr>
    </w:lvl>
    <w:lvl w:ilvl="3">
      <w:start w:val="1"/>
      <w:numFmt w:val="none"/>
      <w:lvlText w:val=" "/>
      <w:lvlJc w:val="left"/>
      <w:pPr>
        <w:ind w:left="3240" w:hanging="360"/>
      </w:pPr>
    </w:lvl>
    <w:lvl w:ilvl="4">
      <w:start w:val="1"/>
      <w:numFmt w:val="none"/>
      <w:lvlText w:val=" "/>
      <w:lvlJc w:val="left"/>
      <w:pPr>
        <w:ind w:left="3960" w:hanging="360"/>
      </w:pPr>
    </w:lvl>
    <w:lvl w:ilvl="5">
      <w:start w:val="1"/>
      <w:numFmt w:val="none"/>
      <w:lvlText w:val=" "/>
      <w:lvlJc w:val="left"/>
      <w:pPr>
        <w:ind w:left="4680" w:hanging="360"/>
      </w:pPr>
    </w:lvl>
    <w:lvl w:ilvl="6">
      <w:start w:val="1"/>
      <w:numFmt w:val="none"/>
      <w:lvlText w:val=" "/>
      <w:lvlJc w:val="left"/>
      <w:pPr>
        <w:ind w:left="5400" w:hanging="360"/>
      </w:pPr>
    </w:lvl>
    <w:lvl w:ilvl="7">
      <w:start w:val="1"/>
      <w:numFmt w:val="none"/>
      <w:lvlText w:val=" "/>
      <w:lvlJc w:val="left"/>
      <w:pPr>
        <w:ind w:left="6120" w:hanging="360"/>
      </w:pPr>
    </w:lvl>
    <w:lvl w:ilvl="8">
      <w:start w:val="1"/>
      <w:numFmt w:val="none"/>
      <w:lvlText w:val=" "/>
      <w:lvlJc w:val="left"/>
      <w:pPr>
        <w:ind w:left="6840" w:hanging="360"/>
      </w:pPr>
    </w:lvl>
  </w:abstractNum>
  <w:abstractNum w:abstractNumId="1">
    <w:multiLevelType w:val="hybridMultilevel"/>
    <w:lvl w:ilvl="0">
      <w:start w:val="1"/>
      <w:numFmt w:val="none"/>
      <w:lvlText w:val=" "/>
      <w:lvlJc w:val="left"/>
      <w:pPr>
        <w:ind w:left="1080" w:hanging="360"/>
      </w:pPr>
    </w:lvl>
    <w:lvl w:ilvl="1">
      <w:start w:val="1"/>
      <w:numFmt w:val="none"/>
      <w:lvlText w:val=" "/>
      <w:lvlJc w:val="left"/>
      <w:pPr>
        <w:ind w:left="1800" w:hanging="360"/>
      </w:pPr>
    </w:lvl>
    <w:lvl w:ilvl="2">
      <w:start w:val="1"/>
      <w:numFmt w:val="none"/>
      <w:lvlText w:val=" "/>
      <w:lvlJc w:val="left"/>
      <w:pPr>
        <w:ind w:left="2520" w:hanging="360"/>
      </w:pPr>
    </w:lvl>
    <w:lvl w:ilvl="3">
      <w:start w:val="1"/>
      <w:numFmt w:val="none"/>
      <w:lvlText w:val=" "/>
      <w:lvlJc w:val="left"/>
      <w:pPr>
        <w:ind w:left="3240" w:hanging="360"/>
      </w:pPr>
    </w:lvl>
    <w:lvl w:ilvl="4">
      <w:start w:val="1"/>
      <w:numFmt w:val="none"/>
      <w:lvlText w:val=" "/>
      <w:lvlJc w:val="left"/>
      <w:pPr>
        <w:ind w:left="3960" w:hanging="360"/>
      </w:pPr>
    </w:lvl>
    <w:lvl w:ilvl="5">
      <w:start w:val="1"/>
      <w:numFmt w:val="none"/>
      <w:lvlText w:val=" "/>
      <w:lvlJc w:val="left"/>
      <w:pPr>
        <w:ind w:left="4680" w:hanging="360"/>
      </w:pPr>
    </w:lvl>
    <w:lvl w:ilvl="6">
      <w:start w:val="1"/>
      <w:numFmt w:val="none"/>
      <w:lvlText w:val=" "/>
      <w:lvlJc w:val="left"/>
      <w:pPr>
        <w:ind w:left="5400" w:hanging="360"/>
      </w:pPr>
    </w:lvl>
    <w:lvl w:ilvl="7">
      <w:start w:val="1"/>
      <w:numFmt w:val="none"/>
      <w:lvlText w:val=" "/>
      <w:lvlJc w:val="left"/>
      <w:pPr>
        <w:ind w:left="6120" w:hanging="360"/>
      </w:pPr>
    </w:lvl>
    <w:lvl w:ilvl="8">
      <w:start w:val="1"/>
      <w:numFmt w:val="none"/>
      <w:lvlText w:val=" "/>
      <w:lvlJc w:val="left"/>
      <w:pPr>
        <w:ind w:left="6840" w:hanging="360"/>
      </w:pPr>
    </w:lvl>
  </w:abstractNum>
  <w:abstractNum w:abstractNumId="2">
    <w:multiLevelType w:val="hybridMultilevel"/>
    <w:lvl w:ilvl="0">
      <w:start w:val="1"/>
      <w:numFmt w:val="none"/>
      <w:lvlText w:val=" "/>
      <w:lvlJc w:val="left"/>
      <w:pPr>
        <w:ind w:left="1080" w:hanging="360"/>
      </w:pPr>
    </w:lvl>
    <w:lvl w:ilvl="1">
      <w:start w:val="1"/>
      <w:numFmt w:val="none"/>
      <w:lvlText w:val=" "/>
      <w:lvlJc w:val="left"/>
      <w:pPr>
        <w:ind w:left="1800" w:hanging="360"/>
      </w:pPr>
    </w:lvl>
    <w:lvl w:ilvl="2">
      <w:start w:val="1"/>
      <w:numFmt w:val="none"/>
      <w:lvlText w:val=" "/>
      <w:lvlJc w:val="left"/>
      <w:pPr>
        <w:ind w:left="2520" w:hanging="360"/>
      </w:pPr>
    </w:lvl>
    <w:lvl w:ilvl="3">
      <w:start w:val="1"/>
      <w:numFmt w:val="none"/>
      <w:lvlText w:val=" "/>
      <w:lvlJc w:val="left"/>
      <w:pPr>
        <w:ind w:left="3240" w:hanging="360"/>
      </w:pPr>
    </w:lvl>
    <w:lvl w:ilvl="4">
      <w:start w:val="1"/>
      <w:numFmt w:val="none"/>
      <w:lvlText w:val=" "/>
      <w:lvlJc w:val="left"/>
      <w:pPr>
        <w:ind w:left="3960" w:hanging="360"/>
      </w:pPr>
    </w:lvl>
    <w:lvl w:ilvl="5">
      <w:start w:val="1"/>
      <w:numFmt w:val="none"/>
      <w:lvlText w:val=" "/>
      <w:lvlJc w:val="left"/>
      <w:pPr>
        <w:ind w:left="4680" w:hanging="360"/>
      </w:pPr>
    </w:lvl>
    <w:lvl w:ilvl="6">
      <w:start w:val="1"/>
      <w:numFmt w:val="none"/>
      <w:lvlText w:val=" "/>
      <w:lvlJc w:val="left"/>
      <w:pPr>
        <w:ind w:left="5400" w:hanging="360"/>
      </w:pPr>
    </w:lvl>
    <w:lvl w:ilvl="7">
      <w:start w:val="1"/>
      <w:numFmt w:val="none"/>
      <w:lvlText w:val=" "/>
      <w:lvlJc w:val="left"/>
      <w:pPr>
        <w:ind w:left="6120" w:hanging="360"/>
      </w:pPr>
    </w:lvl>
    <w:lvl w:ilvl="8">
      <w:start w:val="1"/>
      <w:numFmt w:val="none"/>
      <w:lvlText w:val=" "/>
      <w:lvlJc w:val="left"/>
      <w:pPr>
        <w:ind w:left="6840" w:hanging="360"/>
      </w:pPr>
    </w:lvl>
  </w:abstractNum>
  <w:abstractNum w:abstractNumId="3">
    <w:multiLevelType w:val="hybridMultilevel"/>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4">
    <w:multiLevelType w:val="hybridMultilevel"/>
    <w:lvl w:ilvl="0">
      <w:start w:val="1"/>
      <w:numFmt w:val="none"/>
      <w:lvlText w:val=" "/>
      <w:lvlJc w:val="left"/>
      <w:pPr>
        <w:ind w:left="1080" w:hanging="360"/>
      </w:pPr>
    </w:lvl>
    <w:lvl w:ilvl="1">
      <w:start w:val="1"/>
      <w:numFmt w:val="none"/>
      <w:lvlText w:val=" "/>
      <w:lvlJc w:val="left"/>
      <w:pPr>
        <w:ind w:left="1800" w:hanging="360"/>
      </w:pPr>
    </w:lvl>
    <w:lvl w:ilvl="2">
      <w:start w:val="1"/>
      <w:numFmt w:val="none"/>
      <w:lvlText w:val=" "/>
      <w:lvlJc w:val="left"/>
      <w:pPr>
        <w:ind w:left="2520" w:hanging="360"/>
      </w:pPr>
    </w:lvl>
    <w:lvl w:ilvl="3">
      <w:start w:val="1"/>
      <w:numFmt w:val="none"/>
      <w:lvlText w:val=" "/>
      <w:lvlJc w:val="left"/>
      <w:pPr>
        <w:ind w:left="3240" w:hanging="360"/>
      </w:pPr>
    </w:lvl>
    <w:lvl w:ilvl="4">
      <w:start w:val="1"/>
      <w:numFmt w:val="none"/>
      <w:lvlText w:val=" "/>
      <w:lvlJc w:val="left"/>
      <w:pPr>
        <w:ind w:left="3960" w:hanging="360"/>
      </w:pPr>
    </w:lvl>
    <w:lvl w:ilvl="5">
      <w:start w:val="1"/>
      <w:numFmt w:val="none"/>
      <w:lvlText w:val=" "/>
      <w:lvlJc w:val="left"/>
      <w:pPr>
        <w:ind w:left="4680" w:hanging="360"/>
      </w:pPr>
    </w:lvl>
    <w:lvl w:ilvl="6">
      <w:start w:val="1"/>
      <w:numFmt w:val="none"/>
      <w:lvlText w:val=" "/>
      <w:lvlJc w:val="left"/>
      <w:pPr>
        <w:ind w:left="5400" w:hanging="360"/>
      </w:pPr>
    </w:lvl>
    <w:lvl w:ilvl="7">
      <w:start w:val="1"/>
      <w:numFmt w:val="none"/>
      <w:lvlText w:val=" "/>
      <w:lvlJc w:val="left"/>
      <w:pPr>
        <w:ind w:left="6120" w:hanging="360"/>
      </w:pPr>
    </w:lvl>
    <w:lvl w:ilvl="8">
      <w:start w:val="1"/>
      <w:numFmt w:val="none"/>
      <w:lvlText w:val=" "/>
      <w:lvlJc w:val="left"/>
      <w:pPr>
        <w:ind w:left="6840" w:hanging="360"/>
      </w:pPr>
    </w:lvl>
  </w:abstractNum>
  <w:num w:numId="1">
    <w:abstractNumId w:val="0"/>
    <w:lvlOverride w:ilvl="0">
      <w:startOverride w:val="1"/>
    </w:lvlOverride>
  </w:num>
  <w:num w:numId="2">
    <w:abstractNumId w:val="1"/>
    <w:lvlOverride w:ilvl="0">
      <w:startOverride w:val="1"/>
    </w:lvlOverride>
  </w:num>
  <w:num w:numId="3">
    <w:abstractNumId w:val="2"/>
    <w:lvlOverride w:ilvl="0">
      <w:startOverride w:val="1"/>
    </w:lvlOverride>
  </w:num>
  <w:num w:numId="4">
    <w:abstractNumId w:val="3"/>
    <w:lvlOverride w:ilvl="0">
      <w:startOverride w:val="1"/>
    </w:lvlOverride>
  </w:num>
  <w:num w:numId="5">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F8D"/>
    <w:rsid w:val="00806F8D"/>
    <w:rsid w:val="00E0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rPr>
    </w:rPrDefault>
    <w:pPrDefault>
      <w:pPr>
        <w:spacing w:after="200" w:lineRule="auto" w:line="276"/>
      </w:pPr>
    </w:pPrDefault>
  </w:docDefaults>
  <w:style w:type="table" w:styleId="Normal Table" w:default="true">
    <w:name w:val="Normal Table"/>
    <w:uiPriority w:val="99"/>
    <w:semiHidden/>
    <w:unhideWhenUsed/>
    <w:qFormat/>
    <w:pPr/>
    <w:rPr/>
    <w:tblPr>
      <w:tblStyleRowBandSize w:val="1"/>
      <w:tblStyleColBandSize w:val="1"/>
      <w:tblInd w:w="0" w:type="dxa"/>
      <w:tblCellMar>
        <w:top w:w="0" w:type="dxa"/>
        <w:left w:w="108" w:type="dxa"/>
        <w:bottom w:w="0" w:type="dxa"/>
        <w:right w:w="108" w:type="dxa"/>
      </w:tblCellMar>
    </w:tblPr>
    <w:trPr/>
    <w:tcPr/>
  </w:style>
  <w:style w:type="table" w:styleId="Table Grid">
    <w:name w:val="Table Grid"/>
    <w:basedOn w:val="Normal Table"/>
    <w:qFormat/>
    <w:pPr>
      <w:spacing w:after="0" w:lineRule="auto" w:line="240"/>
    </w:pPr>
    <w:rPr/>
    <w:tblPr>
      <w:tblStyleRowBandSize w:val="1"/>
      <w:tblStyleColBandSize w:val="1"/>
      <w:tblInd w:w="0" w:type="dxa"/>
      <w:tblBorders>
        <w:top w:val="single" w:sz="4" w:color="000000"/>
        <w:left w:val="single" w:sz="4" w:color="000000"/>
        <w:bottom w:val="single" w:sz="4" w:color="000000"/>
        <w:right w:val="single" w:sz="4" w:color="000000"/>
        <w:insideH w:val="single" w:sz="4" w:color="000000"/>
        <w:insideV w:val="single" w:sz="4" w:color="000000"/>
      </w:tblBorders>
      <w:tblCellMar>
        <w:top w:w="0" w:type="dxa"/>
        <w:left w:w="108" w:type="dxa"/>
        <w:bottom w:w="0" w:type="dxa"/>
        <w:right w:w="108" w:type="dxa"/>
      </w:tblCellMar>
    </w:tblPr>
    <w:trPr/>
    <w:tcPr/>
  </w:style>
  <w:style w:type="paragraph" w:styleId="heading 3">
    <w:name w:val="heading 3"/>
    <w:qFormat/>
    <w:pPr>
      <w:keepNext/>
      <w:keepLines/>
      <w:spacing w:before="200" w:after="0"/>
      <w:outlineLvl w:val="2"/>
    </w:pPr>
    <w:rPr>
      <w:b/>
      <w:bCs/>
      <w:color w:val="4F81BD"/>
    </w:rPr>
  </w:style>
  <w:style w:type="paragraph" w:styleId="toc 1">
    <w:name w:val="toc 1"/>
    <w:qFormat/>
    <w:pPr>
      <w:keepLines/>
      <w:contextualSpacing/>
    </w:pPr>
    <w:rPr>
      <w:rFonts w:ascii="Arial" w:eastAsia="Arial" w:hAnsi="Arial" w:cs="Arial"/>
      <w:caps/>
      <w:color w:val="000000"/>
      <w:sz w:val="22"/>
      <w:szCs w:val="22"/>
    </w:rPr>
  </w:style>
  <w:style w:type="paragraph" w:styleId="toc 2">
    <w:name w:val="toc 2"/>
    <w:qFormat/>
    <w:pPr>
      <w:keepLines/>
      <w:contextualSpacing/>
    </w:pPr>
    <w:rPr>
      <w:rFonts w:ascii="Arial" w:eastAsia="Arial" w:hAnsi="Arial" w:cs="Arial"/>
      <w:b w:val="false"/>
      <w:bCs w:val="false"/>
      <w:color w:val="000000"/>
      <w:sz w:val="18"/>
      <w:szCs w:val="18"/>
    </w:rPr>
  </w:style>
  <w:style w:type="paragraph" w:styleId="heading 2">
    <w:name w:val="heading 2"/>
    <w:qFormat/>
    <w:pPr>
      <w:keepNext/>
      <w:keepLines/>
      <w:spacing w:before="200" w:after="0"/>
      <w:outlineLvl w:val="1"/>
    </w:pPr>
    <w:rPr>
      <w:b/>
      <w:bCs/>
      <w:color w:val="4F81BD"/>
      <w:sz w:val="26"/>
      <w:szCs w:val="26"/>
    </w:rPr>
  </w:style>
  <w:style w:type="paragraph" w:styleId="heading 1">
    <w:name w:val="heading 1"/>
    <w:qFormat/>
    <w:pPr>
      <w:keepNext/>
      <w:keepLines/>
      <w:spacing w:before="480" w:after="0"/>
      <w:outlineLvl w:val="0"/>
    </w:pPr>
    <w:rPr>
      <w:b/>
      <w:bCs/>
      <w:color w:val="365F91"/>
      <w:sz w:val="28"/>
      <w:szCs w:val="28"/>
    </w:rPr>
  </w:style>
  <w:style w:type="paragraph" w:styleId="heading 5">
    <w:name w:val="heading 5"/>
    <w:qFormat/>
    <w:pPr>
      <w:keepNext/>
      <w:keepLines/>
      <w:spacing w:before="200" w:after="0"/>
      <w:outlineLvl w:val="4"/>
    </w:pPr>
    <w:rPr>
      <w:color w:val="243F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PictureId1" Type="http://schemas.openxmlformats.org/officeDocument/2006/relationships/image" Target="media/image1.png" /><Relationship Id="PictureId2" Type="http://schemas.openxmlformats.org/officeDocument/2006/relationships/image" Target="media/image2.png" /><Relationship Id="PictureId3" Type="http://schemas.openxmlformats.org/officeDocument/2006/relationships/image" Target="media/image3.png" /><Relationship Id="gemHfRid3" Type="http://schemas.openxmlformats.org/officeDocument/2006/relationships/footer" Target="footer1.xml" /><Relationship Id="PictureId4" Type="http://schemas.openxmlformats.org/officeDocument/2006/relationships/image" Target="media/image4.png" /><Relationship Id="gemHfRid5" Type="http://schemas.openxmlformats.org/officeDocument/2006/relationships/header" Target="header1.xml" /><Relationship Id="gemHfRid6" Type="http://schemas.openxmlformats.org/officeDocument/2006/relationships/footer" Target="footer2.xml" /><Relationship Id="gemHfRid7" Type="http://schemas.openxmlformats.org/officeDocument/2006/relationships/header" Target="header2.xml" /><Relationship Id="gemHfRid8" Type="http://schemas.openxmlformats.org/officeDocument/2006/relationships/footer" Target="footer3.xml" /><Relationship Id="gemHfRid9" Type="http://schemas.openxmlformats.org/officeDocument/2006/relationships/header" Target="header3.xml" /><Relationship Id="gemHfRid10" Type="http://schemas.openxmlformats.org/officeDocument/2006/relationships/footer" Target="footer4.xml" /><Relationship Id="gemHfRid11" Type="http://schemas.openxmlformats.org/officeDocument/2006/relationships/header" Target="header4.xml" /><Relationship Id="gemHfRid12" Type="http://schemas.openxmlformats.org/officeDocument/2006/relationships/footer" Target="footer5.xml" /><Relationship Id="PictureId5" Type="http://schemas.openxmlformats.org/officeDocument/2006/relationships/image" Target="media/image5.png" /><Relationship Id="PictureId6" Type="http://schemas.openxmlformats.org/officeDocument/2006/relationships/image" Target="media/image6.png" /><Relationship Id="PictureId7" Type="http://schemas.openxmlformats.org/officeDocument/2006/relationships/image" Target="media/image7.png" /><Relationship Id="gemHfRid16" Type="http://schemas.openxmlformats.org/officeDocument/2006/relationships/header" Target="header5.xml" /><Relationship Id="gemHfRid17" Type="http://schemas.openxmlformats.org/officeDocument/2006/relationships/footer" Target="footer6.xml" /><Relationship Id="PictureId8" Type="http://schemas.openxmlformats.org/officeDocument/2006/relationships/image" Target="media/image8.png" /><Relationship Id="PictureId9" Type="http://schemas.openxmlformats.org/officeDocument/2006/relationships/image" Target="media/image9.png" /><Relationship Id="PictureId10" Type="http://schemas.openxmlformats.org/officeDocument/2006/relationships/image" Target="media/image10.png" /><Relationship Id="PictureId11" Type="http://schemas.openxmlformats.org/officeDocument/2006/relationships/image" Target="media/image11.png" /><Relationship Id="PictureId12" Type="http://schemas.openxmlformats.org/officeDocument/2006/relationships/image" Target="media/image12.png" /><Relationship Id="PictureId13" Type="http://schemas.openxmlformats.org/officeDocument/2006/relationships/image" Target="media/image13.png" /><Relationship Id="PictureId14" Type="http://schemas.openxmlformats.org/officeDocument/2006/relationships/image" Target="media/image14.png" /><Relationship Id="PictureId15" Type="http://schemas.openxmlformats.org/officeDocument/2006/relationships/image" Target="media/image15.png" /><Relationship Id="PictureId16" Type="http://schemas.openxmlformats.org/officeDocument/2006/relationships/image" Target="media/image16.png" /><Relationship Id="PictureId17" Type="http://schemas.openxmlformats.org/officeDocument/2006/relationships/image" Target="media/image17.png" /><Relationship Id="PictureId18" Type="http://schemas.openxmlformats.org/officeDocument/2006/relationships/image" Target="media/image18.png" /><Relationship Id="PictureId19" Type="http://schemas.openxmlformats.org/officeDocument/2006/relationships/image" Target="media/image19.png" /><Relationship Id="PictureId20" Type="http://schemas.openxmlformats.org/officeDocument/2006/relationships/image" Target="media/image20.png" /><Relationship Id="PictureId21" Type="http://schemas.openxmlformats.org/officeDocument/2006/relationships/image" Target="media/image21.png" /><Relationship Id="PictureId22" Type="http://schemas.openxmlformats.org/officeDocument/2006/relationships/image" Target="media/image22.png" /><Relationship Id="PictureId23" Type="http://schemas.openxmlformats.org/officeDocument/2006/relationships/image" Target="media/image23.png" /><Relationship Id="PictureId24" Type="http://schemas.openxmlformats.org/officeDocument/2006/relationships/image" Target="media/image24.png" /><Relationship Id="PictureId25" Type="http://schemas.openxmlformats.org/officeDocument/2006/relationships/image" Target="media/image25.png" /><Relationship Id="PictureId26" Type="http://schemas.openxmlformats.org/officeDocument/2006/relationships/image" Target="media/image26.png" /><Relationship Id="PictureId27" Type="http://schemas.openxmlformats.org/officeDocument/2006/relationships/image" Target="media/image27.png" /><Relationship Id="PictureId28" Type="http://schemas.openxmlformats.org/officeDocument/2006/relationships/image" Target="media/image28.png" /><Relationship Id="gemHfRid39" Type="http://schemas.openxmlformats.org/officeDocument/2006/relationships/header" Target="header6.xml" /><Relationship Id="gemHfRid40" Type="http://schemas.openxmlformats.org/officeDocument/2006/relationships/footer" Target="footer7.xml" /><Relationship Id="PictureId29" Type="http://schemas.openxmlformats.org/officeDocument/2006/relationships/image" Target="media/image29.png" /><Relationship Id="PictureId30" Type="http://schemas.openxmlformats.org/officeDocument/2006/relationships/image" Target="media/image30.png" /><Relationship Id="gemHfRid43" Type="http://schemas.openxmlformats.org/officeDocument/2006/relationships/header" Target="header7.xml" /><Relationship Id="gemHfRid44" Type="http://schemas.openxmlformats.org/officeDocument/2006/relationships/footer" Target="footer8.xml" /><Relationship Id="PictureId31" Type="http://schemas.openxmlformats.org/officeDocument/2006/relationships/image" Target="media/image31.png" /><Relationship Id="PictureId32" Type="http://schemas.openxmlformats.org/officeDocument/2006/relationships/image" Target="media/image32.png" /><Relationship Id="PictureId33" Type="http://schemas.openxmlformats.org/officeDocument/2006/relationships/image" Target="media/image33.png" /><Relationship Id="gemHfRid48" Type="http://schemas.openxmlformats.org/officeDocument/2006/relationships/header" Target="header8.xml" /><Relationship Id="gemHfRid49" Type="http://schemas.openxmlformats.org/officeDocument/2006/relationships/footer" Target="footer9.xml" /><Relationship Id="PictureId34" Type="http://schemas.openxmlformats.org/officeDocument/2006/relationships/image" Target="media/image34.png" /><Relationship Id="PictureId35" Type="http://schemas.openxmlformats.org/officeDocument/2006/relationships/image" Target="media/image35.png" /><Relationship Id="PictureId36" Type="http://schemas.openxmlformats.org/officeDocument/2006/relationships/image" Target="media/image36.png" /><Relationship Id="PictureId37" Type="http://schemas.openxmlformats.org/officeDocument/2006/relationships/image" Target="media/image37.png" /><Relationship Id="PictureId38" Type="http://schemas.openxmlformats.org/officeDocument/2006/relationships/image" Target="media/image38.png" /><Relationship Id="gemHfRid55" Type="http://schemas.openxmlformats.org/officeDocument/2006/relationships/header" Target="header9.xml" /><Relationship Id="gemHfRid56" Type="http://schemas.openxmlformats.org/officeDocument/2006/relationships/footer" Target="footer10.xml" /><Relationship Id="PictureId39" Type="http://schemas.openxmlformats.org/officeDocument/2006/relationships/image" Target="media/image39.png" /><Relationship Id="PictureId40" Type="http://schemas.openxmlformats.org/officeDocument/2006/relationships/image" Target="media/image40.png" /><Relationship Id="PictureId41" Type="http://schemas.openxmlformats.org/officeDocument/2006/relationships/image" Target="media/image41.png" /><Relationship Id="PictureId42" Type="http://schemas.openxmlformats.org/officeDocument/2006/relationships/image" Target="media/image42.png" /><Relationship Id="PictureId43" Type="http://schemas.openxmlformats.org/officeDocument/2006/relationships/image" Target="media/image43.png" /><Relationship Id="PictureId44" Type="http://schemas.openxmlformats.org/officeDocument/2006/relationships/image" Target="media/image44.png" /><Relationship Id="PictureId45" Type="http://schemas.openxmlformats.org/officeDocument/2006/relationships/image" Target="media/image45.png" /><Relationship Id="PictureId46" Type="http://schemas.openxmlformats.org/officeDocument/2006/relationships/image" Target="media/image46.png" /><Relationship Id="PictureId47" Type="http://schemas.openxmlformats.org/officeDocument/2006/relationships/image" Target="media/image47.png" /><Relationship Id="PictureId48" Type="http://schemas.openxmlformats.org/officeDocument/2006/relationships/image" Target="media/image48.png" /><Relationship Id="PictureId49" Type="http://schemas.openxmlformats.org/officeDocument/2006/relationships/image" Target="media/image49.png" /><Relationship Id="PictureId50" Type="http://schemas.openxmlformats.org/officeDocument/2006/relationships/image" Target="media/image50.png" /><Relationship Id="PictureId51" Type="http://schemas.openxmlformats.org/officeDocument/2006/relationships/image" Target="media/image51.png" /><Relationship Id="PictureId52" Type="http://schemas.openxmlformats.org/officeDocument/2006/relationships/image" Target="media/image52.png" /><Relationship Id="PictureId53" Type="http://schemas.openxmlformats.org/officeDocument/2006/relationships/image" Target="media/image53.png" /><Relationship Id="PictureId54" Type="http://schemas.openxmlformats.org/officeDocument/2006/relationships/image" Target="media/image54.png" /><Relationship Id="PictureId55" Type="http://schemas.openxmlformats.org/officeDocument/2006/relationships/image" Target="media/image55.png" /><Relationship Id="gemHfRid74" Type="http://schemas.openxmlformats.org/officeDocument/2006/relationships/header" Target="header10.xml" /><Relationship Id="gemHfRid75" Type="http://schemas.openxmlformats.org/officeDocument/2006/relationships/footer" Target="footer11.xml" /><Relationship Id="PictureId56" Type="http://schemas.openxmlformats.org/officeDocument/2006/relationships/image" Target="media/image56.png" /><Relationship Id="PictureId57" Type="http://schemas.openxmlformats.org/officeDocument/2006/relationships/image" Target="media/image57.png" /><Relationship Id="gemHfRid78" Type="http://schemas.openxmlformats.org/officeDocument/2006/relationships/header" Target="header11.xml" /><Relationship Id="gemHfRid79" Type="http://schemas.openxmlformats.org/officeDocument/2006/relationships/footer" Target="footer12.xml" /><Relationship Id="PictureId58" Type="http://schemas.openxmlformats.org/officeDocument/2006/relationships/image" Target="media/image58.png" /><Relationship Id="PictureId59" Type="http://schemas.openxmlformats.org/officeDocument/2006/relationships/image" Target="media/image59.png" /><Relationship Id="PictureId60" Type="http://schemas.openxmlformats.org/officeDocument/2006/relationships/image" Target="media/image60.png" /><Relationship Id="PictureId61" Type="http://schemas.openxmlformats.org/officeDocument/2006/relationships/image" Target="media/image61.png" /><Relationship Id="PictureId62" Type="http://schemas.openxmlformats.org/officeDocument/2006/relationships/image" Target="media/image62.png" /><Relationship Id="PictureId63" Type="http://schemas.openxmlformats.org/officeDocument/2006/relationships/image" Target="media/image63.png" /><Relationship Id="PictureId64" Type="http://schemas.openxmlformats.org/officeDocument/2006/relationships/image" Target="media/image64.png" /><Relationship Id="PictureId65" Type="http://schemas.openxmlformats.org/officeDocument/2006/relationships/image" Target="media/image65.png" /><Relationship Id="PictureId66" Type="http://schemas.openxmlformats.org/officeDocument/2006/relationships/image" Target="media/image66.png" /><Relationship Id="gemHfRid89" Type="http://schemas.openxmlformats.org/officeDocument/2006/relationships/header" Target="header12.xml" /><Relationship Id="gemHfRid90" Type="http://schemas.openxmlformats.org/officeDocument/2006/relationships/footer" Target="footer13.xml" /><Relationship Id="PictureId67" Type="http://schemas.openxmlformats.org/officeDocument/2006/relationships/image" Target="media/image67.png" /><Relationship Id="gemHfRid92" Type="http://schemas.openxmlformats.org/officeDocument/2006/relationships/header" Target="header13.xml" /><Relationship Id="gemHfRid93" Type="http://schemas.openxmlformats.org/officeDocument/2006/relationships/footer" Target="footer14.xml" /><Relationship Id="gemHfRid94" Type="http://schemas.openxmlformats.org/officeDocument/2006/relationships/header" Target="header14.xml" /><Relationship Id="gemHfRid95" Type="http://schemas.openxmlformats.org/officeDocument/2006/relationships/footer" Target="footer15.xml" /><Relationship Id="PictureId68" Type="http://schemas.openxmlformats.org/officeDocument/2006/relationships/image" Target="media/image68.png" /><Relationship Id="PictureId69" Type="http://schemas.openxmlformats.org/officeDocument/2006/relationships/image" Target="media/image69.png" /><Relationship Id="PictureId70" Type="http://schemas.openxmlformats.org/officeDocument/2006/relationships/image" Target="media/image70.png" /><Relationship Id="gemHfRid99" Type="http://schemas.openxmlformats.org/officeDocument/2006/relationships/header" Target="header15.xml" /><Relationship Id="gemHfRid100" Type="http://schemas.openxmlformats.org/officeDocument/2006/relationships/footer" Target="footer16.xml" /><Relationship Id="rId1" Type="http://schemas.openxmlformats.org/officeDocument/2006/relationships/settings" Target="settings.xml" /><Relationship Id="rId2" Type="http://schemas.openxmlformats.org/officeDocument/2006/relationships/styles" Target="styles.xml" /><Relationship Id="rId3" Type="http://schemas.openxmlformats.org/officeDocument/2006/relationships/numbering" Target="numbering.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